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D75" w:rsidRDefault="00AE4D04">
      <w:pPr>
        <w:widowControl w:val="0"/>
        <w:pBdr>
          <w:top w:val="nil"/>
          <w:left w:val="nil"/>
          <w:bottom w:val="nil"/>
          <w:right w:val="nil"/>
          <w:between w:val="nil"/>
        </w:pBdr>
        <w:spacing w:line="276" w:lineRule="auto"/>
        <w:ind w:left="0" w:hanging="2"/>
      </w:pPr>
      <w:r>
        <w:pict w14:anchorId="2B2E9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50pt;height:50pt;z-index:251657728;visibility:hidden">
            <v:path o:extrusionok="t"/>
            <o:lock v:ext="edit" selection="t"/>
          </v:shape>
        </w:pict>
      </w:r>
    </w:p>
    <w:p w:rsidR="00E65D75" w:rsidRDefault="00E65D75">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bl>
      <w:tblPr>
        <w:tblStyle w:val="a"/>
        <w:tblW w:w="965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2"/>
        <w:gridCol w:w="445"/>
        <w:gridCol w:w="274"/>
        <w:gridCol w:w="1549"/>
        <w:gridCol w:w="2969"/>
      </w:tblGrid>
      <w:tr w:rsidR="00E65D75">
        <w:trPr>
          <w:jc w:val="center"/>
        </w:trPr>
        <w:tc>
          <w:tcPr>
            <w:tcW w:w="9659" w:type="dxa"/>
            <w:gridSpan w:val="5"/>
          </w:tcPr>
          <w:p w:rsidR="00E65D75" w:rsidRDefault="00AE4D04">
            <w:pPr>
              <w:ind w:left="0" w:hanging="2"/>
              <w:jc w:val="center"/>
              <w:rPr>
                <w:rFonts w:ascii="Arial" w:eastAsia="Arial" w:hAnsi="Arial" w:cs="Arial"/>
                <w:sz w:val="20"/>
                <w:szCs w:val="20"/>
              </w:rPr>
            </w:pPr>
            <w:r>
              <w:rPr>
                <w:rFonts w:ascii="Arial" w:eastAsia="Arial" w:hAnsi="Arial" w:cs="Arial"/>
                <w:b/>
                <w:sz w:val="20"/>
                <w:szCs w:val="20"/>
              </w:rPr>
              <w:t>RESUMEN ESTUDIOS Y DOCUMENTOS PREVIOS</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FECHA DE ELABORACIÓN:</w:t>
            </w:r>
          </w:p>
        </w:tc>
        <w:tc>
          <w:tcPr>
            <w:tcW w:w="5237" w:type="dxa"/>
            <w:gridSpan w:val="4"/>
            <w:vAlign w:val="center"/>
          </w:tcPr>
          <w:p w:rsidR="00E65D75" w:rsidRDefault="00AE4D04">
            <w:pPr>
              <w:ind w:left="0" w:hanging="2"/>
              <w:rPr>
                <w:rFonts w:ascii="Arial" w:eastAsia="Arial" w:hAnsi="Arial" w:cs="Arial"/>
                <w:sz w:val="20"/>
                <w:szCs w:val="20"/>
              </w:rPr>
            </w:pPr>
            <w:r>
              <w:rPr>
                <w:rFonts w:ascii="Arial" w:eastAsia="Arial" w:hAnsi="Arial" w:cs="Arial"/>
                <w:color w:val="000000"/>
                <w:sz w:val="20"/>
                <w:szCs w:val="20"/>
              </w:rPr>
              <w:t>03/10/2022</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DEPENDENCIA SOLICITANTE:</w:t>
            </w:r>
          </w:p>
        </w:tc>
        <w:tc>
          <w:tcPr>
            <w:tcW w:w="5237" w:type="dxa"/>
            <w:gridSpan w:val="4"/>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 xml:space="preserve">Vicerrectoría de Extensión </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 xml:space="preserve">NOMBRE E IDENTIFICACIÓN DEL RESPONSABLE </w:t>
            </w:r>
            <w:r>
              <w:rPr>
                <w:rFonts w:ascii="Arial" w:eastAsia="Arial" w:hAnsi="Arial" w:cs="Arial"/>
                <w:b/>
                <w:sz w:val="20"/>
                <w:szCs w:val="20"/>
              </w:rPr>
              <w:t>(DEPENDENCIA SOLICITANTE):</w:t>
            </w:r>
          </w:p>
        </w:tc>
        <w:tc>
          <w:tcPr>
            <w:tcW w:w="5237" w:type="dxa"/>
            <w:gridSpan w:val="4"/>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RODRIGO ORLANDO OSORIO MONTOYA</w:t>
            </w:r>
          </w:p>
          <w:p w:rsidR="00E65D75" w:rsidRDefault="00AE4D04">
            <w:pPr>
              <w:ind w:left="0" w:hanging="2"/>
              <w:rPr>
                <w:rFonts w:ascii="Arial" w:eastAsia="Arial" w:hAnsi="Arial" w:cs="Arial"/>
                <w:sz w:val="20"/>
                <w:szCs w:val="20"/>
              </w:rPr>
            </w:pPr>
            <w:r>
              <w:rPr>
                <w:rFonts w:ascii="Arial" w:eastAsia="Arial" w:hAnsi="Arial" w:cs="Arial"/>
                <w:sz w:val="20"/>
                <w:szCs w:val="20"/>
              </w:rPr>
              <w:t xml:space="preserve">Vicerrector de Extensión </w:t>
            </w:r>
          </w:p>
          <w:p w:rsidR="00E65D75" w:rsidRDefault="00AE4D04">
            <w:pPr>
              <w:ind w:left="0" w:hanging="2"/>
              <w:rPr>
                <w:rFonts w:ascii="Arial" w:eastAsia="Arial" w:hAnsi="Arial" w:cs="Arial"/>
                <w:sz w:val="20"/>
                <w:szCs w:val="20"/>
              </w:rPr>
            </w:pPr>
            <w:r>
              <w:rPr>
                <w:rFonts w:ascii="Arial" w:eastAsia="Arial" w:hAnsi="Arial" w:cs="Arial"/>
                <w:sz w:val="20"/>
                <w:szCs w:val="20"/>
              </w:rPr>
              <w:t>Cédula: 71.777.749</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FUENTE DE FINANCIACIÓN:</w:t>
            </w:r>
          </w:p>
        </w:tc>
        <w:tc>
          <w:tcPr>
            <w:tcW w:w="5237" w:type="dxa"/>
            <w:gridSpan w:val="4"/>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Administración de convenios</w:t>
            </w:r>
            <w:r>
              <w:rPr>
                <w:rFonts w:ascii="Arial" w:eastAsia="Arial" w:hAnsi="Arial" w:cs="Arial"/>
                <w:color w:val="000000"/>
              </w:rPr>
              <w:t xml:space="preserve"> </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REQUIERE CONCEPTO PLANEACIÓN</w:t>
            </w:r>
          </w:p>
        </w:tc>
        <w:tc>
          <w:tcPr>
            <w:tcW w:w="445"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SI</w:t>
            </w:r>
          </w:p>
        </w:tc>
        <w:tc>
          <w:tcPr>
            <w:tcW w:w="274"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X</w:t>
            </w:r>
          </w:p>
        </w:tc>
        <w:tc>
          <w:tcPr>
            <w:tcW w:w="1549"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No. Concepto</w:t>
            </w:r>
          </w:p>
        </w:tc>
        <w:tc>
          <w:tcPr>
            <w:tcW w:w="2969" w:type="dxa"/>
            <w:vAlign w:val="center"/>
          </w:tcPr>
          <w:p w:rsidR="00E65D75" w:rsidRDefault="00E65D75">
            <w:pPr>
              <w:ind w:left="0" w:hanging="2"/>
              <w:rPr>
                <w:rFonts w:ascii="Arial" w:eastAsia="Arial" w:hAnsi="Arial" w:cs="Arial"/>
                <w:sz w:val="20"/>
                <w:szCs w:val="20"/>
              </w:rPr>
            </w:pP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CENTRO DE COSTOS:</w:t>
            </w:r>
          </w:p>
        </w:tc>
        <w:tc>
          <w:tcPr>
            <w:tcW w:w="5237" w:type="dxa"/>
            <w:gridSpan w:val="4"/>
            <w:vAlign w:val="center"/>
          </w:tcPr>
          <w:p w:rsidR="00E65D75" w:rsidRDefault="00AE4D04">
            <w:pPr>
              <w:ind w:left="0" w:hanging="2"/>
              <w:rPr>
                <w:rFonts w:ascii="Arial" w:eastAsia="Arial" w:hAnsi="Arial" w:cs="Arial"/>
                <w:sz w:val="20"/>
                <w:szCs w:val="20"/>
                <w:highlight w:val="yellow"/>
              </w:rPr>
            </w:pPr>
            <w:r>
              <w:rPr>
                <w:rFonts w:ascii="Arial" w:eastAsia="Arial" w:hAnsi="Arial" w:cs="Arial"/>
                <w:sz w:val="20"/>
                <w:szCs w:val="20"/>
              </w:rPr>
              <w:t>4231910313</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NOMBRE DEL RUBRO PRESUPUESTAL:</w:t>
            </w:r>
          </w:p>
        </w:tc>
        <w:tc>
          <w:tcPr>
            <w:tcW w:w="5237" w:type="dxa"/>
            <w:gridSpan w:val="4"/>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FORTALECIMIENTO DE LA EXTENSIÓN Y LA PROYECCION SOCIAL – C.I. 261 DE 2022-ÁREA METROPOLITANA</w:t>
            </w:r>
          </w:p>
        </w:tc>
      </w:tr>
      <w:tr w:rsidR="00E65D75">
        <w:trPr>
          <w:trHeight w:val="312"/>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NÚMERO DEL RUBRO PRESUPUESTAL:</w:t>
            </w:r>
          </w:p>
        </w:tc>
        <w:tc>
          <w:tcPr>
            <w:tcW w:w="5237" w:type="dxa"/>
            <w:gridSpan w:val="4"/>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2301404000440044</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CERTIFICADO DE DISPONIBILIDAD PRESUPUESTAL</w:t>
            </w:r>
            <w:r>
              <w:rPr>
                <w:rFonts w:ascii="Arial" w:eastAsia="Arial" w:hAnsi="Arial" w:cs="Arial"/>
                <w:b/>
                <w:sz w:val="20"/>
                <w:szCs w:val="20"/>
              </w:rPr>
              <w:t>(CDP)</w:t>
            </w:r>
          </w:p>
        </w:tc>
        <w:tc>
          <w:tcPr>
            <w:tcW w:w="5237" w:type="dxa"/>
            <w:gridSpan w:val="4"/>
            <w:vAlign w:val="center"/>
          </w:tcPr>
          <w:p w:rsidR="00E65D75" w:rsidRDefault="001A4912">
            <w:pPr>
              <w:ind w:left="0" w:hanging="2"/>
              <w:rPr>
                <w:rFonts w:ascii="Arial" w:eastAsia="Arial" w:hAnsi="Arial" w:cs="Arial"/>
                <w:sz w:val="20"/>
                <w:szCs w:val="20"/>
                <w:highlight w:val="yellow"/>
              </w:rPr>
            </w:pPr>
            <w:bookmarkStart w:id="0" w:name="_GoBack"/>
            <w:bookmarkEnd w:id="0"/>
            <w:r w:rsidRPr="001A4912">
              <w:rPr>
                <w:rFonts w:ascii="Arial" w:eastAsia="Arial" w:hAnsi="Arial" w:cs="Arial"/>
                <w:sz w:val="20"/>
                <w:szCs w:val="20"/>
              </w:rPr>
              <w:t>8885</w:t>
            </w:r>
          </w:p>
        </w:tc>
      </w:tr>
      <w:tr w:rsidR="00E65D75">
        <w:trPr>
          <w:trHeight w:val="1162"/>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 xml:space="preserve">NOMBRE DEL CONTRATISTA PERSONA NATURAL O JURÍDICA - REPRESENTANTE LEGAL </w:t>
            </w:r>
          </w:p>
          <w:p w:rsidR="00E65D75" w:rsidRDefault="00AE4D04">
            <w:pPr>
              <w:ind w:left="0" w:hanging="2"/>
              <w:rPr>
                <w:rFonts w:ascii="Arial" w:eastAsia="Arial" w:hAnsi="Arial" w:cs="Arial"/>
                <w:sz w:val="20"/>
                <w:szCs w:val="20"/>
              </w:rPr>
            </w:pPr>
            <w:r>
              <w:rPr>
                <w:rFonts w:ascii="Arial" w:eastAsia="Arial" w:hAnsi="Arial" w:cs="Arial"/>
                <w:b/>
                <w:sz w:val="20"/>
                <w:szCs w:val="20"/>
              </w:rPr>
              <w:t>(EN CASO DE CONOCERLO – APLICA SOLO PARA CONTRATACIÓN DIRECTA)</w:t>
            </w:r>
            <w:r>
              <w:rPr>
                <w:rFonts w:ascii="Arial" w:eastAsia="Arial" w:hAnsi="Arial" w:cs="Arial"/>
                <w:sz w:val="20"/>
                <w:szCs w:val="20"/>
              </w:rPr>
              <w:t>:</w:t>
            </w:r>
          </w:p>
        </w:tc>
        <w:tc>
          <w:tcPr>
            <w:tcW w:w="5237" w:type="dxa"/>
            <w:gridSpan w:val="4"/>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FUNDAUNA – FUNDACIÓN PARA EL DESARROLLO ACADÉMICO DE LA UNA (UNIVERSIDAD NACIONAL DE COSTA RICA)</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 xml:space="preserve">CÉDULA DE CIUDADANÍA Y/O NIT </w:t>
            </w:r>
            <w:r>
              <w:rPr>
                <w:rFonts w:ascii="Arial" w:eastAsia="Arial" w:hAnsi="Arial" w:cs="Arial"/>
                <w:b/>
                <w:sz w:val="20"/>
                <w:szCs w:val="20"/>
              </w:rPr>
              <w:t>(EN CASO DE CONOCERLO – APLICA SOLO PARA CONTRATACIÓN DIRECTA)</w:t>
            </w:r>
            <w:r>
              <w:rPr>
                <w:rFonts w:ascii="Arial" w:eastAsia="Arial" w:hAnsi="Arial" w:cs="Arial"/>
                <w:sz w:val="20"/>
                <w:szCs w:val="20"/>
              </w:rPr>
              <w:t>:</w:t>
            </w:r>
          </w:p>
        </w:tc>
        <w:tc>
          <w:tcPr>
            <w:tcW w:w="5237" w:type="dxa"/>
            <w:gridSpan w:val="4"/>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4000042150</w:t>
            </w:r>
          </w:p>
        </w:tc>
      </w:tr>
      <w:tr w:rsidR="00E65D75">
        <w:trPr>
          <w:trHeight w:val="1274"/>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NIVEL DE CLASIFICACIÓN DE RIESGO (ARL)-</w:t>
            </w:r>
            <w:r>
              <w:rPr>
                <w:rFonts w:ascii="Arial" w:eastAsia="Arial" w:hAnsi="Arial" w:cs="Arial"/>
                <w:b/>
                <w:sz w:val="20"/>
                <w:szCs w:val="20"/>
              </w:rPr>
              <w:t>APLICA SOLO PARA PRESTACIÓN DE SERVICIOS.</w:t>
            </w:r>
          </w:p>
          <w:p w:rsidR="00E65D75" w:rsidRDefault="00AE4D04">
            <w:pPr>
              <w:ind w:left="0" w:hanging="2"/>
              <w:rPr>
                <w:rFonts w:ascii="Arial" w:eastAsia="Arial" w:hAnsi="Arial" w:cs="Arial"/>
                <w:sz w:val="20"/>
                <w:szCs w:val="20"/>
              </w:rPr>
            </w:pPr>
            <w:hyperlink r:id="rId8">
              <w:r>
                <w:rPr>
                  <w:rFonts w:ascii="Arial" w:eastAsia="Arial" w:hAnsi="Arial" w:cs="Arial"/>
                  <w:color w:val="0000FF"/>
                  <w:sz w:val="20"/>
                  <w:szCs w:val="20"/>
                  <w:u w:val="single"/>
                </w:rPr>
                <w:t>https://www.minsalud.gov.co/Normatividad_Nuevo/DECRETO%201607%20DE%202002.pdf</w:t>
              </w:r>
            </w:hyperlink>
          </w:p>
        </w:tc>
        <w:tc>
          <w:tcPr>
            <w:tcW w:w="5237" w:type="dxa"/>
            <w:gridSpan w:val="4"/>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N/A</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OBJETO DEL CONTRATO:</w:t>
            </w:r>
          </w:p>
        </w:tc>
        <w:tc>
          <w:tcPr>
            <w:tcW w:w="5237" w:type="dxa"/>
            <w:gridSpan w:val="4"/>
          </w:tcPr>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Servicios técnicos para realizar análisis químico a 40 muestras PM2.5 en aire ambiente </w:t>
            </w:r>
            <w:r>
              <w:rPr>
                <w:rFonts w:ascii="Arial" w:eastAsia="Arial" w:hAnsi="Arial" w:cs="Arial"/>
                <w:color w:val="000000"/>
                <w:sz w:val="20"/>
                <w:szCs w:val="20"/>
              </w:rPr>
              <w:t xml:space="preserve">en el marco del </w:t>
            </w:r>
            <w:r>
              <w:rPr>
                <w:rFonts w:ascii="Arial" w:eastAsia="Arial" w:hAnsi="Arial" w:cs="Arial"/>
                <w:sz w:val="20"/>
                <w:szCs w:val="20"/>
              </w:rPr>
              <w:t>Convenio Interadministrativo No. 261, suscrito con el Área Metropolitana del Valle de Aburrá. Teniendo en cuenta el detalle de los análisis descritos en el numeral 4b de este documento.</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PLAZO DE EJECUCIÓN:</w:t>
            </w:r>
          </w:p>
        </w:tc>
        <w:tc>
          <w:tcPr>
            <w:tcW w:w="5237" w:type="dxa"/>
            <w:gridSpan w:val="4"/>
            <w:vAlign w:val="center"/>
          </w:tcPr>
          <w:p w:rsidR="00E65D75" w:rsidRDefault="00AE4D04">
            <w:pPr>
              <w:ind w:left="0" w:hanging="2"/>
              <w:jc w:val="both"/>
              <w:rPr>
                <w:rFonts w:ascii="Arial" w:eastAsia="Arial" w:hAnsi="Arial" w:cs="Arial"/>
                <w:color w:val="000000"/>
                <w:sz w:val="20"/>
                <w:szCs w:val="20"/>
              </w:rPr>
            </w:pPr>
            <w:r>
              <w:rPr>
                <w:rFonts w:ascii="Arial" w:eastAsia="Arial" w:hAnsi="Arial" w:cs="Arial"/>
                <w:color w:val="000000"/>
                <w:sz w:val="20"/>
                <w:szCs w:val="20"/>
              </w:rPr>
              <w:t>Dos (2) meses a partir de la firma del acta de in</w:t>
            </w:r>
            <w:r>
              <w:rPr>
                <w:rFonts w:ascii="Arial" w:eastAsia="Arial" w:hAnsi="Arial" w:cs="Arial"/>
                <w:color w:val="000000"/>
                <w:sz w:val="20"/>
                <w:szCs w:val="20"/>
              </w:rPr>
              <w:t>icio sin exceder el 31 de diciembre de 2022.</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CUANTÍA DEL CONTRATO (</w:t>
            </w:r>
            <w:r>
              <w:rPr>
                <w:rFonts w:ascii="Arial" w:eastAsia="Arial" w:hAnsi="Arial" w:cs="Arial"/>
                <w:b/>
                <w:sz w:val="20"/>
                <w:szCs w:val="20"/>
              </w:rPr>
              <w:t>LETRA Y NÚMERO)</w:t>
            </w:r>
          </w:p>
        </w:tc>
        <w:tc>
          <w:tcPr>
            <w:tcW w:w="5237" w:type="dxa"/>
            <w:gridSpan w:val="4"/>
            <w:vAlign w:val="center"/>
          </w:tcPr>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El valor del contrato que se derive de la presente contratación directa será por la suma de </w:t>
            </w:r>
            <w:r>
              <w:rPr>
                <w:rFonts w:ascii="Arial" w:eastAsia="Arial" w:hAnsi="Arial" w:cs="Arial"/>
                <w:b/>
                <w:sz w:val="20"/>
                <w:szCs w:val="20"/>
              </w:rPr>
              <w:t>CUARENTA Y TRES MILLONES QUINIENTOS CINCUENTA MIL NOVECIENTOS DIEZ PESOS M/L ($43.550.910)</w:t>
            </w:r>
          </w:p>
        </w:tc>
      </w:tr>
      <w:tr w:rsidR="00E65D75">
        <w:trPr>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FORMA DE PAGO:</w:t>
            </w:r>
          </w:p>
        </w:tc>
        <w:tc>
          <w:tcPr>
            <w:tcW w:w="5237" w:type="dxa"/>
            <w:gridSpan w:val="4"/>
            <w:vAlign w:val="center"/>
          </w:tcPr>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A los treinta (30) días, previo recibo a satisfacción por parte del supervisor del contrato, de los servicios prestados y facturados. Un pago de </w:t>
            </w:r>
            <w:r>
              <w:rPr>
                <w:rFonts w:ascii="Arial" w:eastAsia="Arial" w:hAnsi="Arial" w:cs="Arial"/>
                <w:b/>
                <w:sz w:val="20"/>
                <w:szCs w:val="20"/>
              </w:rPr>
              <w:t>CUAR</w:t>
            </w:r>
            <w:r>
              <w:rPr>
                <w:rFonts w:ascii="Arial" w:eastAsia="Arial" w:hAnsi="Arial" w:cs="Arial"/>
                <w:b/>
                <w:sz w:val="20"/>
                <w:szCs w:val="20"/>
              </w:rPr>
              <w:t>ENTA Y TRES MILLONES QUINIENTOS CINCUENTA MIL NOVECIENTOS DIEZ PESOS M/L ($43.550.910)</w:t>
            </w:r>
          </w:p>
        </w:tc>
      </w:tr>
      <w:tr w:rsidR="00E65D75">
        <w:trPr>
          <w:trHeight w:val="408"/>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lastRenderedPageBreak/>
              <w:t>LUGAR DE EJECUCIÓN:</w:t>
            </w:r>
          </w:p>
        </w:tc>
        <w:tc>
          <w:tcPr>
            <w:tcW w:w="5237" w:type="dxa"/>
            <w:gridSpan w:val="4"/>
            <w:vAlign w:val="center"/>
          </w:tcPr>
          <w:p w:rsidR="00E65D75" w:rsidRDefault="00AE4D04">
            <w:pPr>
              <w:ind w:left="0" w:hanging="2"/>
              <w:jc w:val="both"/>
              <w:rPr>
                <w:rFonts w:ascii="Arial" w:eastAsia="Arial" w:hAnsi="Arial" w:cs="Arial"/>
                <w:sz w:val="20"/>
                <w:szCs w:val="20"/>
              </w:rPr>
            </w:pPr>
            <w:r>
              <w:rPr>
                <w:rFonts w:ascii="Arial" w:eastAsia="Arial" w:hAnsi="Arial" w:cs="Arial"/>
                <w:sz w:val="20"/>
                <w:szCs w:val="20"/>
              </w:rPr>
              <w:t>Costa Rica, Heredia (1.5 Km. Al Oeste de Jardines del Recuerdo. Campus Benjamín Núñez, Edificio de Emprendedurismo Tercer piso)</w:t>
            </w:r>
          </w:p>
        </w:tc>
      </w:tr>
      <w:tr w:rsidR="00E65D75">
        <w:trPr>
          <w:trHeight w:val="290"/>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MODALIDAD DE CONTRA</w:t>
            </w:r>
            <w:r>
              <w:rPr>
                <w:rFonts w:ascii="Arial" w:eastAsia="Arial" w:hAnsi="Arial" w:cs="Arial"/>
                <w:sz w:val="20"/>
                <w:szCs w:val="20"/>
              </w:rPr>
              <w:t>TACIÓN:</w:t>
            </w:r>
          </w:p>
        </w:tc>
        <w:tc>
          <w:tcPr>
            <w:tcW w:w="5237" w:type="dxa"/>
            <w:gridSpan w:val="4"/>
            <w:vAlign w:val="center"/>
          </w:tcPr>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Contratación Directa </w:t>
            </w:r>
          </w:p>
        </w:tc>
      </w:tr>
      <w:tr w:rsidR="00E65D75">
        <w:trPr>
          <w:trHeight w:val="250"/>
          <w:jc w:val="center"/>
        </w:trPr>
        <w:tc>
          <w:tcPr>
            <w:tcW w:w="4422" w:type="dxa"/>
            <w:vAlign w:val="center"/>
          </w:tcPr>
          <w:p w:rsidR="00E65D75" w:rsidRDefault="00AE4D04">
            <w:pPr>
              <w:ind w:left="0" w:hanging="2"/>
              <w:jc w:val="both"/>
              <w:rPr>
                <w:rFonts w:ascii="Arial" w:eastAsia="Arial" w:hAnsi="Arial" w:cs="Arial"/>
                <w:sz w:val="20"/>
                <w:szCs w:val="20"/>
              </w:rPr>
            </w:pPr>
            <w:r>
              <w:rPr>
                <w:rFonts w:ascii="Arial" w:eastAsia="Arial" w:hAnsi="Arial" w:cs="Arial"/>
                <w:sz w:val="20"/>
                <w:szCs w:val="20"/>
              </w:rPr>
              <w:t>GARANTÍAS:</w:t>
            </w:r>
          </w:p>
        </w:tc>
        <w:tc>
          <w:tcPr>
            <w:tcW w:w="5237" w:type="dxa"/>
            <w:gridSpan w:val="4"/>
          </w:tcPr>
          <w:p w:rsidR="00E65D75" w:rsidRDefault="00AE4D04">
            <w:pPr>
              <w:ind w:left="0" w:hanging="2"/>
              <w:jc w:val="both"/>
              <w:rPr>
                <w:rFonts w:ascii="Arial" w:eastAsia="Arial" w:hAnsi="Arial" w:cs="Arial"/>
                <w:sz w:val="20"/>
                <w:szCs w:val="20"/>
              </w:rPr>
            </w:pPr>
            <w:r>
              <w:rPr>
                <w:rFonts w:ascii="Arial" w:eastAsia="Arial" w:hAnsi="Arial" w:cs="Arial"/>
                <w:sz w:val="20"/>
                <w:szCs w:val="20"/>
              </w:rPr>
              <w:t>De conformidad con lo establecido en el artículo 77 del Decreto 1150 de 2013, la entidad se abstendrá de exigir las garantías de que trata el título III del Decreto, para el pago derivado de la prestación del servicio se deberá rendir informe al supervisor</w:t>
            </w:r>
            <w:r>
              <w:rPr>
                <w:rFonts w:ascii="Arial" w:eastAsia="Arial" w:hAnsi="Arial" w:cs="Arial"/>
                <w:sz w:val="20"/>
                <w:szCs w:val="20"/>
              </w:rPr>
              <w:t xml:space="preserve"> del contrato previo al respectivo pago, quien avalará el cumplimiento de las obligaciones adquiridas por el contratista, por lo cual se considera que no existe riesgo para la entidad.</w:t>
            </w:r>
          </w:p>
        </w:tc>
      </w:tr>
      <w:tr w:rsidR="00E65D75">
        <w:trPr>
          <w:trHeight w:val="250"/>
          <w:jc w:val="center"/>
        </w:trPr>
        <w:tc>
          <w:tcPr>
            <w:tcW w:w="4422"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SUPERVISOR Y/O INTERVENTOR (</w:t>
            </w:r>
            <w:r>
              <w:rPr>
                <w:rFonts w:ascii="Arial" w:eastAsia="Arial" w:hAnsi="Arial" w:cs="Arial"/>
                <w:b/>
                <w:sz w:val="20"/>
                <w:szCs w:val="20"/>
              </w:rPr>
              <w:t>NOMBRE, DOCUMENTO, CORREO Y CARGO)</w:t>
            </w:r>
          </w:p>
        </w:tc>
        <w:tc>
          <w:tcPr>
            <w:tcW w:w="5237" w:type="dxa"/>
            <w:gridSpan w:val="4"/>
          </w:tcPr>
          <w:p w:rsidR="00E65D75" w:rsidRDefault="00AE4D04">
            <w:pPr>
              <w:ind w:left="0" w:hanging="2"/>
              <w:jc w:val="both"/>
              <w:rPr>
                <w:rFonts w:ascii="Arial" w:eastAsia="Arial" w:hAnsi="Arial" w:cs="Arial"/>
                <w:sz w:val="20"/>
                <w:szCs w:val="20"/>
              </w:rPr>
            </w:pPr>
            <w:r>
              <w:rPr>
                <w:rFonts w:ascii="Arial" w:eastAsia="Arial" w:hAnsi="Arial" w:cs="Arial"/>
                <w:sz w:val="20"/>
                <w:szCs w:val="20"/>
              </w:rPr>
              <w:t>Se desi</w:t>
            </w:r>
            <w:r>
              <w:rPr>
                <w:rFonts w:ascii="Arial" w:eastAsia="Arial" w:hAnsi="Arial" w:cs="Arial"/>
                <w:sz w:val="20"/>
                <w:szCs w:val="20"/>
              </w:rPr>
              <w:t xml:space="preserve">gna como supervisora del contrato que se derive del presente proceso de contratación directa a la señora </w:t>
            </w:r>
            <w:r>
              <w:rPr>
                <w:rFonts w:ascii="Arial" w:eastAsia="Arial" w:hAnsi="Arial" w:cs="Arial"/>
                <w:b/>
                <w:sz w:val="20"/>
                <w:szCs w:val="20"/>
              </w:rPr>
              <w:t>MIRYAM GÓMEZ MARÍN</w:t>
            </w:r>
            <w:r>
              <w:rPr>
                <w:rFonts w:ascii="Arial" w:eastAsia="Arial" w:hAnsi="Arial" w:cs="Arial"/>
                <w:sz w:val="20"/>
                <w:szCs w:val="20"/>
              </w:rPr>
              <w:t>, identificada con cedula de ciudadanía N° 32.533.526, en su calidad de Docente vinculada a la Facultad de Ingenierías del Politécnic</w:t>
            </w:r>
            <w:r>
              <w:rPr>
                <w:rFonts w:ascii="Arial" w:eastAsia="Arial" w:hAnsi="Arial" w:cs="Arial"/>
                <w:sz w:val="20"/>
                <w:szCs w:val="20"/>
              </w:rPr>
              <w:t xml:space="preserve">o Colombiano Jaime Isaza Cadavid. Datos de contacto: Bloque P19, oficina 111A_Teléfono: 3197900 ext. 230 - Email: </w:t>
            </w:r>
            <w:hyperlink r:id="rId9">
              <w:r>
                <w:rPr>
                  <w:rFonts w:ascii="Arial" w:eastAsia="Arial" w:hAnsi="Arial" w:cs="Arial"/>
                  <w:color w:val="0000FF"/>
                  <w:sz w:val="20"/>
                  <w:szCs w:val="20"/>
                  <w:u w:val="single"/>
                </w:rPr>
                <w:t>mgomez@elpoli.edu.co</w:t>
              </w:r>
            </w:hyperlink>
            <w:r>
              <w:rPr>
                <w:rFonts w:ascii="Arial" w:eastAsia="Arial" w:hAnsi="Arial" w:cs="Arial"/>
                <w:sz w:val="20"/>
                <w:szCs w:val="20"/>
                <w:u w:val="single"/>
              </w:rPr>
              <w:t xml:space="preserve">, </w:t>
            </w:r>
            <w:r>
              <w:rPr>
                <w:rFonts w:ascii="Arial" w:eastAsia="Arial" w:hAnsi="Arial" w:cs="Arial"/>
                <w:sz w:val="20"/>
                <w:szCs w:val="20"/>
              </w:rPr>
              <w:t>o la persona designada por el Vicerrector de Extensión.</w:t>
            </w:r>
          </w:p>
        </w:tc>
      </w:tr>
    </w:tbl>
    <w:p w:rsidR="00E65D75" w:rsidRDefault="00E65D75">
      <w:pPr>
        <w:ind w:left="0" w:hanging="2"/>
        <w:rPr>
          <w:rFonts w:ascii="Arial" w:eastAsia="Arial" w:hAnsi="Arial" w:cs="Arial"/>
          <w:sz w:val="20"/>
          <w:szCs w:val="20"/>
        </w:rPr>
      </w:pPr>
    </w:p>
    <w:p w:rsidR="00E65D75" w:rsidRDefault="00AE4D04">
      <w:pPr>
        <w:numPr>
          <w:ilvl w:val="0"/>
          <w:numId w:val="7"/>
        </w:numPr>
        <w:ind w:left="0" w:hanging="2"/>
        <w:jc w:val="both"/>
        <w:rPr>
          <w:rFonts w:ascii="Arial" w:eastAsia="Arial" w:hAnsi="Arial" w:cs="Arial"/>
          <w:sz w:val="20"/>
          <w:szCs w:val="20"/>
        </w:rPr>
      </w:pPr>
      <w:r>
        <w:rPr>
          <w:rFonts w:ascii="Arial" w:eastAsia="Arial" w:hAnsi="Arial" w:cs="Arial"/>
          <w:b/>
          <w:sz w:val="20"/>
          <w:szCs w:val="20"/>
        </w:rPr>
        <w:t>DESCRIPCIÓN DE LA NECESIDAD QUE LA ENTIDAD ESTATAL PRETENDE SATISFACER CON LA CONTRATACIÓN Y SU CORRESPONDIENTE JUSTIFICACIÓN.</w:t>
      </w:r>
    </w:p>
    <w:p w:rsidR="00E65D75" w:rsidRDefault="00E65D75">
      <w:pPr>
        <w:ind w:left="0" w:hanging="2"/>
        <w:jc w:val="both"/>
        <w:rPr>
          <w:rFonts w:ascii="Arial" w:eastAsia="Arial" w:hAnsi="Arial" w:cs="Arial"/>
          <w:sz w:val="20"/>
          <w:szCs w:val="20"/>
        </w:rPr>
      </w:pPr>
    </w:p>
    <w:p w:rsidR="00E65D75" w:rsidRDefault="00AE4D04">
      <w:pPr>
        <w:ind w:left="0" w:hanging="2"/>
        <w:jc w:val="both"/>
        <w:rPr>
          <w:rFonts w:ascii="Arial" w:eastAsia="Arial" w:hAnsi="Arial" w:cs="Arial"/>
          <w:sz w:val="20"/>
          <w:szCs w:val="20"/>
        </w:rPr>
      </w:pPr>
      <w:r>
        <w:rPr>
          <w:rFonts w:ascii="Arial" w:eastAsia="Arial" w:hAnsi="Arial" w:cs="Arial"/>
          <w:sz w:val="20"/>
          <w:szCs w:val="20"/>
        </w:rPr>
        <w:t>El Área Metropolitana del Valle de Aburrá en su Plan de Gestión 2020-2023 “Futuro Sostenible”, enfocado en el concepto de ciudades inteligentes, contempla entre otros, el eje estructural denominado “Sostenibilidad Ambiental”, incluyendo el programa 5: Gest</w:t>
      </w:r>
      <w:r>
        <w:rPr>
          <w:rFonts w:ascii="Arial" w:eastAsia="Arial" w:hAnsi="Arial" w:cs="Arial"/>
          <w:sz w:val="20"/>
          <w:szCs w:val="20"/>
        </w:rPr>
        <w:t>ión inteligente del aire. Este programa busca emprender acciones desde la entidad, para la implementación del Plan Integral de Gestión de la Calidad del Aire (PIGECA) y Plan de Acción para la Prevención y Control de la contaminación por Ruido para el Valle</w:t>
      </w:r>
      <w:r>
        <w:rPr>
          <w:rFonts w:ascii="Arial" w:eastAsia="Arial" w:hAnsi="Arial" w:cs="Arial"/>
          <w:sz w:val="20"/>
          <w:szCs w:val="20"/>
        </w:rPr>
        <w:t xml:space="preserve"> de Aburrá, encaminados en el mejoramiento de la calidad del aire y acústica.</w:t>
      </w:r>
    </w:p>
    <w:p w:rsidR="00E65D75" w:rsidRDefault="00E65D75">
      <w:pPr>
        <w:ind w:left="0" w:hanging="2"/>
        <w:jc w:val="both"/>
        <w:rPr>
          <w:rFonts w:ascii="Arial" w:eastAsia="Arial" w:hAnsi="Arial" w:cs="Arial"/>
          <w:sz w:val="20"/>
          <w:szCs w:val="20"/>
        </w:rPr>
      </w:pPr>
    </w:p>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Como parte de las estrategias implementadas para el acercamiento y cumplimiento de los ODS, el Área metropolita del Valle de Aburrá apalancada con la comunidad científica de la </w:t>
      </w:r>
      <w:r>
        <w:rPr>
          <w:rFonts w:ascii="Arial" w:eastAsia="Arial" w:hAnsi="Arial" w:cs="Arial"/>
          <w:sz w:val="20"/>
          <w:szCs w:val="20"/>
        </w:rPr>
        <w:t xml:space="preserve">región, ha venido trabajando articuladamente en el entendimiento de las dinámicas atmosféricas asociadas a la mala calidad del aire que se presentan en la región conurbanada del Valle. Es así como mediante el Convenio Interadministrativo 261 de 2022 entre </w:t>
      </w:r>
      <w:r>
        <w:rPr>
          <w:rFonts w:ascii="Arial" w:eastAsia="Arial" w:hAnsi="Arial" w:cs="Arial"/>
          <w:sz w:val="20"/>
          <w:szCs w:val="20"/>
        </w:rPr>
        <w:t xml:space="preserve">el AMVA y el Politécnico Colombiano Jaime Isaza Cadavid, se acuerda avanzar en los conocimientos de la caracterización química del PM2.5 en cuanto a los componentes tóxicos de la materia carbonácea en el Valle de Aburrá, mediante el análisis de fracciones </w:t>
      </w:r>
      <w:r>
        <w:rPr>
          <w:rFonts w:ascii="Arial" w:eastAsia="Arial" w:hAnsi="Arial" w:cs="Arial"/>
          <w:sz w:val="20"/>
          <w:szCs w:val="20"/>
        </w:rPr>
        <w:t>orgánicas de dichas características, para obtener información adicional del material particulado, que sirva de apoyo en la toma de decisiones de la autoridad ambiental en el marco de la implementación del Plan Integral para la Gestión de la calidad del Air</w:t>
      </w:r>
      <w:r>
        <w:rPr>
          <w:rFonts w:ascii="Arial" w:eastAsia="Arial" w:hAnsi="Arial" w:cs="Arial"/>
          <w:sz w:val="20"/>
          <w:szCs w:val="20"/>
        </w:rPr>
        <w:t>e - PIGECA</w:t>
      </w:r>
    </w:p>
    <w:p w:rsidR="00E65D75" w:rsidRDefault="00E65D75">
      <w:pPr>
        <w:ind w:left="0" w:hanging="2"/>
        <w:jc w:val="both"/>
        <w:rPr>
          <w:rFonts w:ascii="Arial" w:eastAsia="Arial" w:hAnsi="Arial" w:cs="Arial"/>
          <w:sz w:val="20"/>
          <w:szCs w:val="20"/>
        </w:rPr>
      </w:pPr>
    </w:p>
    <w:p w:rsidR="00E65D75" w:rsidRDefault="00AE4D04">
      <w:pPr>
        <w:ind w:left="0" w:hanging="2"/>
        <w:jc w:val="both"/>
        <w:rPr>
          <w:rFonts w:ascii="Arial" w:eastAsia="Arial" w:hAnsi="Arial" w:cs="Arial"/>
          <w:sz w:val="20"/>
          <w:szCs w:val="20"/>
        </w:rPr>
      </w:pPr>
      <w:r>
        <w:rPr>
          <w:rFonts w:ascii="Arial" w:eastAsia="Arial" w:hAnsi="Arial" w:cs="Arial"/>
          <w:sz w:val="20"/>
          <w:szCs w:val="20"/>
        </w:rPr>
        <w:t>Dada la experiencia del Grupo GHYGAM de la Facultad de Ingenierías, la entidad ha aceptado la propuesta diseñada para la caracterización química del PM2.5 en tóxicos de la materia carbonácea, mediante una campaña de monitorio y evaluación quími</w:t>
      </w:r>
      <w:r>
        <w:rPr>
          <w:rFonts w:ascii="Arial" w:eastAsia="Arial" w:hAnsi="Arial" w:cs="Arial"/>
          <w:sz w:val="20"/>
          <w:szCs w:val="20"/>
        </w:rPr>
        <w:t>ca del PM2.5, análisis meteorológico análisis de material particulado PM2.5, modelación de fuentes, validación metrológica, elaboración de resumen de normativas y proyectos de ley en el tema a nivel mundial, construcción de contenidos multimediales para la</w:t>
      </w:r>
      <w:r>
        <w:rPr>
          <w:rFonts w:ascii="Arial" w:eastAsia="Arial" w:hAnsi="Arial" w:cs="Arial"/>
          <w:sz w:val="20"/>
          <w:szCs w:val="20"/>
        </w:rPr>
        <w:t xml:space="preserve"> transferencia del conocimiento generado y aplicación de la Normativa NTC 17025-2017 para el aseguramiento y trazabilidad de los datos.</w:t>
      </w:r>
    </w:p>
    <w:p w:rsidR="00E65D75" w:rsidRDefault="00E65D75">
      <w:pPr>
        <w:ind w:left="0" w:hanging="2"/>
        <w:jc w:val="both"/>
        <w:rPr>
          <w:rFonts w:ascii="Arial" w:eastAsia="Arial" w:hAnsi="Arial" w:cs="Arial"/>
          <w:sz w:val="20"/>
          <w:szCs w:val="20"/>
        </w:rPr>
      </w:pPr>
    </w:p>
    <w:p w:rsidR="00E65D75" w:rsidRDefault="00AE4D04">
      <w:pPr>
        <w:ind w:left="0" w:hanging="2"/>
        <w:jc w:val="both"/>
        <w:rPr>
          <w:rFonts w:ascii="Arial" w:eastAsia="Arial" w:hAnsi="Arial" w:cs="Arial"/>
          <w:sz w:val="20"/>
          <w:szCs w:val="20"/>
        </w:rPr>
      </w:pPr>
      <w:r>
        <w:rPr>
          <w:rFonts w:ascii="Arial" w:eastAsia="Arial" w:hAnsi="Arial" w:cs="Arial"/>
          <w:sz w:val="20"/>
          <w:szCs w:val="20"/>
        </w:rPr>
        <w:t>Para cumplir el objeto del Convenio, el Politécnico Colombiano Jaime Isaza Cadavid requiere la contratación del servici</w:t>
      </w:r>
      <w:r>
        <w:rPr>
          <w:rFonts w:ascii="Arial" w:eastAsia="Arial" w:hAnsi="Arial" w:cs="Arial"/>
          <w:sz w:val="20"/>
          <w:szCs w:val="20"/>
        </w:rPr>
        <w:t>o de análisis químico para la caracterización química de 40 muestras ambientales PM2.5 en una zona urbana-industrial y una de fondo rural del Valle de Aburrá (20 muestras en cada estación), para la determinación de metales por ICP-MS, OC y EC (Carbono Orgá</w:t>
      </w:r>
      <w:r>
        <w:rPr>
          <w:rFonts w:ascii="Arial" w:eastAsia="Arial" w:hAnsi="Arial" w:cs="Arial"/>
          <w:sz w:val="20"/>
          <w:szCs w:val="20"/>
        </w:rPr>
        <w:t>nico y Carbono Elemental) por NIOSH 5040, iones por cromatografía iónica y análisis de Hidrocarburos Aromáticos Policíclicos (HAPs) en fase particulada por cromatografía gaseosa acoplada a espectrometría de masas (GC-MS).</w:t>
      </w:r>
    </w:p>
    <w:p w:rsidR="00E65D75" w:rsidRDefault="00E65D75">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Por lo anteriormente expuesto, y </w:t>
      </w:r>
      <w:r>
        <w:rPr>
          <w:rFonts w:ascii="Arial" w:eastAsia="Arial" w:hAnsi="Arial" w:cs="Arial"/>
          <w:sz w:val="20"/>
          <w:szCs w:val="20"/>
        </w:rPr>
        <w:t>dada la ausencia de Laboratorios ambientales acreditados en Colombia bajo la norma referenciada, se hace necesaria la contratación del Laboratorio de Análisis Ambiental (LAA) de la Universidad Nacional de Costa Rica (UNA-Costa Rica), acreditado internacion</w:t>
      </w:r>
      <w:r>
        <w:rPr>
          <w:rFonts w:ascii="Arial" w:eastAsia="Arial" w:hAnsi="Arial" w:cs="Arial"/>
          <w:sz w:val="20"/>
          <w:szCs w:val="20"/>
        </w:rPr>
        <w:t>almente en técnicas de análisis de Material particulado método PMA-051: Partículas menor a 2 micrómetros (PM2.5) metales Fe, Ca entre otros componentes bajo la INTE- ISO/IEC-17025 :2005 matriz aire, equivalente a la NTC ISO/IEC-17025:2005.</w:t>
      </w:r>
    </w:p>
    <w:p w:rsidR="00E65D75" w:rsidRDefault="00E65D75">
      <w:pPr>
        <w:ind w:left="0" w:hanging="2"/>
        <w:jc w:val="both"/>
        <w:rPr>
          <w:rFonts w:ascii="Arial" w:eastAsia="Arial" w:hAnsi="Arial" w:cs="Arial"/>
          <w:sz w:val="20"/>
          <w:szCs w:val="20"/>
        </w:rPr>
      </w:pPr>
    </w:p>
    <w:p w:rsidR="00E65D75" w:rsidRDefault="00AE4D04">
      <w:pPr>
        <w:numPr>
          <w:ilvl w:val="0"/>
          <w:numId w:val="7"/>
        </w:numPr>
        <w:ind w:left="0" w:hanging="2"/>
        <w:jc w:val="both"/>
        <w:rPr>
          <w:rFonts w:ascii="Arial" w:eastAsia="Arial" w:hAnsi="Arial" w:cs="Arial"/>
          <w:sz w:val="20"/>
          <w:szCs w:val="20"/>
        </w:rPr>
      </w:pPr>
      <w:r>
        <w:rPr>
          <w:rFonts w:ascii="Arial" w:eastAsia="Arial" w:hAnsi="Arial" w:cs="Arial"/>
          <w:b/>
          <w:sz w:val="20"/>
          <w:szCs w:val="20"/>
        </w:rPr>
        <w:t>CODIFICACIÓN DE</w:t>
      </w:r>
      <w:r>
        <w:rPr>
          <w:rFonts w:ascii="Arial" w:eastAsia="Arial" w:hAnsi="Arial" w:cs="Arial"/>
          <w:b/>
          <w:sz w:val="20"/>
          <w:szCs w:val="20"/>
        </w:rPr>
        <w:t>L BIEN, OBRA O SERVICIO SEGÚN LAS NACIONES UNIDAS - UNSPSC</w:t>
      </w:r>
    </w:p>
    <w:p w:rsidR="00E65D75" w:rsidRDefault="00AE4D04">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TABLA 1 CLASIFICACIÓN UNSPSC</w:t>
      </w:r>
    </w:p>
    <w:p w:rsidR="00E65D75" w:rsidRDefault="00E65D75">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bl>
      <w:tblPr>
        <w:tblStyle w:val="a0"/>
        <w:tblW w:w="905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6"/>
        <w:gridCol w:w="2211"/>
        <w:gridCol w:w="1834"/>
        <w:gridCol w:w="1821"/>
        <w:gridCol w:w="1662"/>
      </w:tblGrid>
      <w:tr w:rsidR="00E65D75">
        <w:trPr>
          <w:jc w:val="center"/>
        </w:trPr>
        <w:tc>
          <w:tcPr>
            <w:tcW w:w="1526"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Clasificación UNSPSC</w:t>
            </w:r>
          </w:p>
        </w:tc>
        <w:tc>
          <w:tcPr>
            <w:tcW w:w="2211"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Segmento</w:t>
            </w:r>
          </w:p>
        </w:tc>
        <w:tc>
          <w:tcPr>
            <w:tcW w:w="1834"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Familia</w:t>
            </w:r>
          </w:p>
        </w:tc>
        <w:tc>
          <w:tcPr>
            <w:tcW w:w="1821"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Clase</w:t>
            </w:r>
          </w:p>
        </w:tc>
        <w:tc>
          <w:tcPr>
            <w:tcW w:w="1662"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Producto</w:t>
            </w:r>
          </w:p>
        </w:tc>
      </w:tr>
      <w:tr w:rsidR="00E65D75">
        <w:trPr>
          <w:jc w:val="center"/>
        </w:trPr>
        <w:tc>
          <w:tcPr>
            <w:tcW w:w="1526" w:type="dxa"/>
            <w:vAlign w:val="center"/>
          </w:tcPr>
          <w:p w:rsidR="00E65D75" w:rsidRDefault="00AE4D04">
            <w:pPr>
              <w:ind w:left="0" w:hanging="2"/>
              <w:rPr>
                <w:rFonts w:ascii="Arial" w:eastAsia="Arial" w:hAnsi="Arial" w:cs="Arial"/>
                <w:sz w:val="20"/>
                <w:szCs w:val="20"/>
              </w:rPr>
            </w:pPr>
            <w:r>
              <w:rPr>
                <w:rFonts w:ascii="Arial" w:eastAsia="Arial" w:hAnsi="Arial" w:cs="Arial"/>
                <w:sz w:val="20"/>
                <w:szCs w:val="20"/>
              </w:rPr>
              <w:t>(F) Servicios</w:t>
            </w:r>
          </w:p>
        </w:tc>
        <w:tc>
          <w:tcPr>
            <w:tcW w:w="2211" w:type="dxa"/>
          </w:tcPr>
          <w:p w:rsidR="00E65D75" w:rsidRDefault="00AE4D04">
            <w:pPr>
              <w:ind w:left="0" w:hanging="2"/>
              <w:jc w:val="center"/>
              <w:rPr>
                <w:rFonts w:ascii="Arial" w:eastAsia="Arial" w:hAnsi="Arial" w:cs="Arial"/>
                <w:sz w:val="20"/>
                <w:szCs w:val="20"/>
              </w:rPr>
            </w:pPr>
            <w:r>
              <w:rPr>
                <w:rFonts w:ascii="Arial" w:eastAsia="Arial" w:hAnsi="Arial" w:cs="Arial"/>
                <w:sz w:val="20"/>
                <w:szCs w:val="20"/>
              </w:rPr>
              <w:t>81000000</w:t>
            </w:r>
          </w:p>
          <w:p w:rsidR="00E65D75" w:rsidRDefault="00AE4D04">
            <w:pPr>
              <w:ind w:left="0" w:hanging="2"/>
              <w:jc w:val="center"/>
              <w:rPr>
                <w:rFonts w:ascii="Arial" w:eastAsia="Arial" w:hAnsi="Arial" w:cs="Arial"/>
                <w:sz w:val="20"/>
                <w:szCs w:val="20"/>
              </w:rPr>
            </w:pPr>
            <w:r>
              <w:rPr>
                <w:rFonts w:ascii="Arial" w:eastAsia="Arial" w:hAnsi="Arial" w:cs="Arial"/>
                <w:color w:val="000000"/>
                <w:sz w:val="20"/>
                <w:szCs w:val="20"/>
              </w:rPr>
              <w:t>Servicios Basados en Ingeniería, Investigación y Tecnología.</w:t>
            </w:r>
          </w:p>
        </w:tc>
        <w:tc>
          <w:tcPr>
            <w:tcW w:w="1834"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81100000</w:t>
            </w:r>
          </w:p>
          <w:p w:rsidR="00E65D75" w:rsidRDefault="00AE4D04">
            <w:pPr>
              <w:ind w:left="0" w:hanging="2"/>
              <w:jc w:val="center"/>
              <w:rPr>
                <w:rFonts w:ascii="Arial" w:eastAsia="Arial" w:hAnsi="Arial" w:cs="Arial"/>
                <w:sz w:val="20"/>
                <w:szCs w:val="20"/>
              </w:rPr>
            </w:pPr>
            <w:r>
              <w:rPr>
                <w:rFonts w:ascii="Arial" w:eastAsia="Arial" w:hAnsi="Arial" w:cs="Arial"/>
                <w:color w:val="000000"/>
                <w:sz w:val="20"/>
                <w:szCs w:val="20"/>
              </w:rPr>
              <w:t>Servicios Profesionales de Ingeniería y Arquitectura</w:t>
            </w:r>
          </w:p>
        </w:tc>
        <w:tc>
          <w:tcPr>
            <w:tcW w:w="1821"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81101800</w:t>
            </w:r>
          </w:p>
          <w:p w:rsidR="00E65D75" w:rsidRDefault="00AE4D04">
            <w:pPr>
              <w:ind w:left="0" w:hanging="2"/>
              <w:jc w:val="center"/>
              <w:rPr>
                <w:rFonts w:ascii="Arial" w:eastAsia="Arial" w:hAnsi="Arial" w:cs="Arial"/>
                <w:sz w:val="20"/>
                <w:szCs w:val="20"/>
              </w:rPr>
            </w:pPr>
            <w:r>
              <w:rPr>
                <w:rFonts w:ascii="Arial" w:eastAsia="Arial" w:hAnsi="Arial" w:cs="Arial"/>
                <w:color w:val="000000"/>
                <w:sz w:val="20"/>
                <w:szCs w:val="20"/>
              </w:rPr>
              <w:t>Ingeniería Química</w:t>
            </w:r>
          </w:p>
        </w:tc>
        <w:tc>
          <w:tcPr>
            <w:tcW w:w="1662"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81101800</w:t>
            </w:r>
          </w:p>
          <w:p w:rsidR="00E65D75" w:rsidRDefault="00AE4D04">
            <w:pPr>
              <w:ind w:left="0" w:hanging="2"/>
              <w:jc w:val="center"/>
              <w:rPr>
                <w:rFonts w:ascii="Arial" w:eastAsia="Arial" w:hAnsi="Arial" w:cs="Arial"/>
                <w:sz w:val="20"/>
                <w:szCs w:val="20"/>
              </w:rPr>
            </w:pPr>
            <w:r>
              <w:rPr>
                <w:rFonts w:ascii="Arial" w:eastAsia="Arial" w:hAnsi="Arial" w:cs="Arial"/>
                <w:color w:val="000000"/>
                <w:sz w:val="20"/>
                <w:szCs w:val="20"/>
              </w:rPr>
              <w:t>Servicios de Ingeniería de procesos Químicos</w:t>
            </w:r>
          </w:p>
        </w:tc>
      </w:tr>
    </w:tbl>
    <w:p w:rsidR="00E65D75" w:rsidRDefault="00E65D75">
      <w:pPr>
        <w:ind w:left="0" w:hanging="2"/>
        <w:jc w:val="both"/>
        <w:rPr>
          <w:rFonts w:ascii="Arial" w:eastAsia="Arial" w:hAnsi="Arial" w:cs="Arial"/>
          <w:sz w:val="20"/>
          <w:szCs w:val="20"/>
        </w:rPr>
      </w:pPr>
    </w:p>
    <w:p w:rsidR="00E65D75" w:rsidRDefault="00AE4D04">
      <w:pPr>
        <w:numPr>
          <w:ilvl w:val="0"/>
          <w:numId w:val="7"/>
        </w:numPr>
        <w:ind w:left="0" w:hanging="2"/>
        <w:jc w:val="both"/>
        <w:rPr>
          <w:rFonts w:ascii="Arial" w:eastAsia="Arial" w:hAnsi="Arial" w:cs="Arial"/>
          <w:sz w:val="20"/>
          <w:szCs w:val="20"/>
        </w:rPr>
      </w:pPr>
      <w:r>
        <w:rPr>
          <w:rFonts w:ascii="Arial" w:eastAsia="Arial" w:hAnsi="Arial" w:cs="Arial"/>
          <w:b/>
          <w:sz w:val="20"/>
          <w:szCs w:val="20"/>
        </w:rPr>
        <w:t>ESTUDIO DEL MERCADO</w:t>
      </w:r>
    </w:p>
    <w:p w:rsidR="00E65D75" w:rsidRDefault="00E65D75">
      <w:pPr>
        <w:ind w:left="0" w:hanging="2"/>
        <w:jc w:val="both"/>
        <w:rPr>
          <w:rFonts w:ascii="Arial" w:eastAsia="Arial" w:hAnsi="Arial" w:cs="Arial"/>
          <w:sz w:val="20"/>
          <w:szCs w:val="20"/>
        </w:rPr>
      </w:pPr>
    </w:p>
    <w:p w:rsidR="00E65D75" w:rsidRDefault="00AE4D04">
      <w:pPr>
        <w:ind w:left="0" w:hanging="2"/>
        <w:jc w:val="both"/>
        <w:rPr>
          <w:rFonts w:ascii="Arial" w:eastAsia="Arial" w:hAnsi="Arial" w:cs="Arial"/>
          <w:sz w:val="20"/>
          <w:szCs w:val="20"/>
        </w:rPr>
      </w:pPr>
      <w:r>
        <w:rPr>
          <w:rFonts w:ascii="Arial" w:eastAsia="Arial" w:hAnsi="Arial" w:cs="Arial"/>
          <w:sz w:val="20"/>
          <w:szCs w:val="20"/>
        </w:rPr>
        <w:t>N.A.</w:t>
      </w:r>
    </w:p>
    <w:p w:rsidR="00E65D75" w:rsidRDefault="00E65D75">
      <w:pPr>
        <w:ind w:left="0" w:hanging="2"/>
        <w:jc w:val="both"/>
        <w:rPr>
          <w:rFonts w:ascii="Arial" w:eastAsia="Arial" w:hAnsi="Arial" w:cs="Arial"/>
          <w:sz w:val="20"/>
          <w:szCs w:val="20"/>
        </w:rPr>
      </w:pPr>
    </w:p>
    <w:p w:rsidR="00E65D75" w:rsidRDefault="00AE4D04">
      <w:pPr>
        <w:numPr>
          <w:ilvl w:val="0"/>
          <w:numId w:val="7"/>
        </w:numPr>
        <w:ind w:left="0" w:hanging="2"/>
        <w:jc w:val="both"/>
        <w:rPr>
          <w:rFonts w:ascii="Arial" w:eastAsia="Arial" w:hAnsi="Arial" w:cs="Arial"/>
          <w:sz w:val="20"/>
          <w:szCs w:val="20"/>
        </w:rPr>
      </w:pPr>
      <w:r>
        <w:rPr>
          <w:rFonts w:ascii="Arial" w:eastAsia="Arial" w:hAnsi="Arial" w:cs="Arial"/>
          <w:b/>
          <w:sz w:val="20"/>
          <w:szCs w:val="20"/>
        </w:rPr>
        <w:t>ACTIVIDADES, ESPECIFICACIONES TÉCNICAS Y OBLIGACIONES.</w:t>
      </w:r>
    </w:p>
    <w:p w:rsidR="00E65D75" w:rsidRDefault="00E65D75">
      <w:pPr>
        <w:ind w:left="0" w:hanging="2"/>
        <w:jc w:val="both"/>
        <w:rPr>
          <w:rFonts w:ascii="Arial" w:eastAsia="Arial" w:hAnsi="Arial" w:cs="Arial"/>
          <w:sz w:val="20"/>
          <w:szCs w:val="20"/>
        </w:rPr>
      </w:pPr>
    </w:p>
    <w:p w:rsidR="00E65D75" w:rsidRDefault="00AE4D04">
      <w:pPr>
        <w:numPr>
          <w:ilvl w:val="0"/>
          <w:numId w:val="5"/>
        </w:numPr>
        <w:ind w:left="0" w:hanging="2"/>
        <w:jc w:val="both"/>
        <w:rPr>
          <w:rFonts w:ascii="Arial" w:eastAsia="Arial" w:hAnsi="Arial" w:cs="Arial"/>
          <w:sz w:val="20"/>
          <w:szCs w:val="20"/>
        </w:rPr>
      </w:pPr>
      <w:r>
        <w:rPr>
          <w:rFonts w:ascii="Arial" w:eastAsia="Arial" w:hAnsi="Arial" w:cs="Arial"/>
          <w:b/>
          <w:sz w:val="20"/>
          <w:szCs w:val="20"/>
        </w:rPr>
        <w:t>ACTIVIDADES</w:t>
      </w:r>
    </w:p>
    <w:p w:rsidR="00E65D75" w:rsidRDefault="00E65D75">
      <w:pPr>
        <w:ind w:left="0" w:hanging="2"/>
        <w:jc w:val="both"/>
        <w:rPr>
          <w:rFonts w:ascii="Arial" w:eastAsia="Arial" w:hAnsi="Arial" w:cs="Arial"/>
          <w:sz w:val="20"/>
          <w:szCs w:val="20"/>
        </w:rPr>
      </w:pPr>
    </w:p>
    <w:p w:rsidR="00E65D75" w:rsidRDefault="00AE4D04">
      <w:pPr>
        <w:ind w:left="0" w:hanging="2"/>
        <w:jc w:val="both"/>
        <w:rPr>
          <w:rFonts w:ascii="Arial" w:eastAsia="Arial" w:hAnsi="Arial" w:cs="Arial"/>
          <w:sz w:val="20"/>
          <w:szCs w:val="20"/>
        </w:rPr>
      </w:pPr>
      <w:r>
        <w:rPr>
          <w:rFonts w:ascii="Arial" w:eastAsia="Arial" w:hAnsi="Arial" w:cs="Arial"/>
          <w:sz w:val="20"/>
          <w:szCs w:val="20"/>
        </w:rPr>
        <w:t>Entregar los resultados de los siguientes análisis:</w:t>
      </w:r>
    </w:p>
    <w:p w:rsidR="00E65D75" w:rsidRDefault="00E65D75">
      <w:pPr>
        <w:shd w:val="clear" w:color="auto" w:fill="FFFFFF"/>
        <w:ind w:left="0" w:hanging="2"/>
        <w:jc w:val="both"/>
        <w:rPr>
          <w:rFonts w:ascii="Arial" w:eastAsia="Arial" w:hAnsi="Arial" w:cs="Arial"/>
          <w:color w:val="222222"/>
          <w:sz w:val="20"/>
          <w:szCs w:val="20"/>
        </w:rPr>
      </w:pPr>
    </w:p>
    <w:p w:rsidR="00E65D75" w:rsidRDefault="00AE4D04">
      <w:pPr>
        <w:numPr>
          <w:ilvl w:val="0"/>
          <w:numId w:val="4"/>
        </w:num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Análisis de metales en PM2.5 por ICP-MS, incluyendo aluminio, antimonio, arsénico, bario, berilio, calcio, cadmio, cromo, cobalto, cobre, plomo, hierro, magnesio, manganeso, molibdeno, níquel, selenio, plata, potasio, sodio, vanadio, zinc.</w:t>
      </w:r>
    </w:p>
    <w:p w:rsidR="00E65D75" w:rsidRDefault="00AE4D04">
      <w:pPr>
        <w:numPr>
          <w:ilvl w:val="0"/>
          <w:numId w:val="4"/>
        </w:num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Análisis de OC y</w:t>
      </w:r>
      <w:r>
        <w:rPr>
          <w:rFonts w:ascii="Arial" w:eastAsia="Arial" w:hAnsi="Arial" w:cs="Arial"/>
          <w:color w:val="000000"/>
          <w:sz w:val="20"/>
          <w:szCs w:val="20"/>
        </w:rPr>
        <w:t xml:space="preserve"> EC (Carbono Orgánico y Carbono Elemental) en PM2.5</w:t>
      </w:r>
    </w:p>
    <w:p w:rsidR="00E65D75" w:rsidRDefault="00AE4D04">
      <w:pPr>
        <w:numPr>
          <w:ilvl w:val="0"/>
          <w:numId w:val="4"/>
        </w:numPr>
        <w:shd w:val="clear" w:color="auto" w:fill="FFFFFF"/>
        <w:ind w:left="0" w:hanging="2"/>
        <w:jc w:val="both"/>
        <w:rPr>
          <w:rFonts w:ascii="Arial" w:eastAsia="Arial" w:hAnsi="Arial" w:cs="Arial"/>
          <w:sz w:val="20"/>
          <w:szCs w:val="20"/>
        </w:rPr>
      </w:pPr>
      <w:r>
        <w:rPr>
          <w:rFonts w:ascii="Arial" w:eastAsia="Arial" w:hAnsi="Arial" w:cs="Arial"/>
          <w:sz w:val="20"/>
          <w:szCs w:val="20"/>
        </w:rPr>
        <w:t>Análisis de iones en PM2.5 por cromatografía iónica que incluye: fluoruro, cloruro, nitrato, sulfato, potasio, sodio, magnesio y calcio en muestras PM2.5 en filtros de cuarzo</w:t>
      </w:r>
    </w:p>
    <w:p w:rsidR="00E65D75" w:rsidRDefault="00AE4D04">
      <w:pPr>
        <w:numPr>
          <w:ilvl w:val="0"/>
          <w:numId w:val="4"/>
        </w:numPr>
        <w:shd w:val="clear" w:color="auto" w:fill="FFFFFF"/>
        <w:ind w:left="0" w:hanging="2"/>
        <w:jc w:val="both"/>
        <w:rPr>
          <w:rFonts w:ascii="Arial" w:eastAsia="Arial" w:hAnsi="Arial" w:cs="Arial"/>
          <w:color w:val="222222"/>
          <w:sz w:val="20"/>
          <w:szCs w:val="20"/>
        </w:rPr>
      </w:pPr>
      <w:r>
        <w:rPr>
          <w:rFonts w:ascii="Arial" w:eastAsia="Arial" w:hAnsi="Arial" w:cs="Arial"/>
          <w:sz w:val="20"/>
          <w:szCs w:val="20"/>
        </w:rPr>
        <w:t xml:space="preserve">Análisis de HAPs particulado </w:t>
      </w:r>
      <w:r>
        <w:rPr>
          <w:rFonts w:ascii="Arial" w:eastAsia="Arial" w:hAnsi="Arial" w:cs="Arial"/>
          <w:sz w:val="20"/>
          <w:szCs w:val="20"/>
        </w:rPr>
        <w:t>en PM2.5</w:t>
      </w:r>
    </w:p>
    <w:p w:rsidR="00E65D75" w:rsidRDefault="00E65D75">
      <w:pPr>
        <w:pBdr>
          <w:top w:val="nil"/>
          <w:left w:val="nil"/>
          <w:bottom w:val="nil"/>
          <w:right w:val="nil"/>
          <w:between w:val="nil"/>
        </w:pBdr>
        <w:spacing w:line="240" w:lineRule="auto"/>
        <w:ind w:left="0" w:right="80" w:hanging="2"/>
        <w:jc w:val="both"/>
        <w:rPr>
          <w:rFonts w:ascii="Arial" w:eastAsia="Arial" w:hAnsi="Arial" w:cs="Arial"/>
          <w:color w:val="000000"/>
          <w:sz w:val="20"/>
          <w:szCs w:val="20"/>
        </w:rPr>
      </w:pPr>
    </w:p>
    <w:p w:rsidR="00E65D75" w:rsidRDefault="00AE4D04">
      <w:pPr>
        <w:numPr>
          <w:ilvl w:val="0"/>
          <w:numId w:val="5"/>
        </w:numPr>
        <w:ind w:left="0" w:hanging="2"/>
        <w:jc w:val="both"/>
        <w:rPr>
          <w:rFonts w:ascii="Arial" w:eastAsia="Arial" w:hAnsi="Arial" w:cs="Arial"/>
          <w:color w:val="000000"/>
          <w:sz w:val="20"/>
          <w:szCs w:val="20"/>
        </w:rPr>
      </w:pPr>
      <w:r>
        <w:rPr>
          <w:rFonts w:ascii="Arial" w:eastAsia="Arial" w:hAnsi="Arial" w:cs="Arial"/>
          <w:b/>
          <w:color w:val="000000"/>
          <w:sz w:val="20"/>
          <w:szCs w:val="20"/>
        </w:rPr>
        <w:t>ESPECIFICACIONES TÉCNICAS:</w:t>
      </w:r>
      <w:r>
        <w:rPr>
          <w:rFonts w:ascii="Arial" w:eastAsia="Arial" w:hAnsi="Arial" w:cs="Arial"/>
          <w:color w:val="000000"/>
          <w:sz w:val="20"/>
          <w:szCs w:val="20"/>
        </w:rPr>
        <w:t xml:space="preserve"> </w:t>
      </w:r>
    </w:p>
    <w:p w:rsidR="00E65D75" w:rsidRDefault="00E65D75">
      <w:pPr>
        <w:ind w:left="0" w:hanging="2"/>
        <w:jc w:val="both"/>
        <w:rPr>
          <w:rFonts w:ascii="Arial" w:eastAsia="Arial" w:hAnsi="Arial" w:cs="Arial"/>
          <w:sz w:val="20"/>
          <w:szCs w:val="20"/>
        </w:rPr>
      </w:pPr>
    </w:p>
    <w:tbl>
      <w:tblPr>
        <w:tblStyle w:val="a1"/>
        <w:tblW w:w="96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1134"/>
        <w:gridCol w:w="1276"/>
        <w:gridCol w:w="1559"/>
        <w:gridCol w:w="1560"/>
      </w:tblGrid>
      <w:tr w:rsidR="00E65D75">
        <w:tc>
          <w:tcPr>
            <w:tcW w:w="4077" w:type="dxa"/>
            <w:vAlign w:val="center"/>
          </w:tcPr>
          <w:p w:rsidR="00E65D75" w:rsidRDefault="00AE4D04">
            <w:pPr>
              <w:ind w:left="0" w:hanging="2"/>
              <w:jc w:val="center"/>
              <w:rPr>
                <w:rFonts w:ascii="Arial" w:eastAsia="Arial" w:hAnsi="Arial" w:cs="Arial"/>
                <w:sz w:val="20"/>
                <w:szCs w:val="20"/>
              </w:rPr>
            </w:pPr>
            <w:r>
              <w:rPr>
                <w:rFonts w:ascii="Arial" w:eastAsia="Arial" w:hAnsi="Arial" w:cs="Arial"/>
                <w:b/>
                <w:sz w:val="20"/>
                <w:szCs w:val="20"/>
              </w:rPr>
              <w:t>Descripción</w:t>
            </w:r>
          </w:p>
        </w:tc>
        <w:tc>
          <w:tcPr>
            <w:tcW w:w="1134" w:type="dxa"/>
            <w:vAlign w:val="center"/>
          </w:tcPr>
          <w:p w:rsidR="00E65D75" w:rsidRDefault="00AE4D04">
            <w:pPr>
              <w:ind w:left="0" w:hanging="2"/>
              <w:jc w:val="center"/>
              <w:rPr>
                <w:rFonts w:ascii="Arial" w:eastAsia="Arial" w:hAnsi="Arial" w:cs="Arial"/>
                <w:sz w:val="20"/>
                <w:szCs w:val="20"/>
              </w:rPr>
            </w:pPr>
            <w:r>
              <w:rPr>
                <w:rFonts w:ascii="Arial" w:eastAsia="Arial" w:hAnsi="Arial" w:cs="Arial"/>
                <w:b/>
                <w:sz w:val="20"/>
                <w:szCs w:val="20"/>
              </w:rPr>
              <w:t>Unidad medida</w:t>
            </w:r>
          </w:p>
        </w:tc>
        <w:tc>
          <w:tcPr>
            <w:tcW w:w="1276" w:type="dxa"/>
            <w:vAlign w:val="center"/>
          </w:tcPr>
          <w:p w:rsidR="00E65D75" w:rsidRDefault="00AE4D04">
            <w:pPr>
              <w:ind w:left="0" w:hanging="2"/>
              <w:jc w:val="center"/>
              <w:rPr>
                <w:rFonts w:ascii="Arial" w:eastAsia="Arial" w:hAnsi="Arial" w:cs="Arial"/>
                <w:sz w:val="20"/>
                <w:szCs w:val="20"/>
              </w:rPr>
            </w:pPr>
            <w:r>
              <w:rPr>
                <w:rFonts w:ascii="Arial" w:eastAsia="Arial" w:hAnsi="Arial" w:cs="Arial"/>
                <w:b/>
                <w:sz w:val="20"/>
                <w:szCs w:val="20"/>
              </w:rPr>
              <w:t>Cantidad solicitada</w:t>
            </w:r>
          </w:p>
        </w:tc>
        <w:tc>
          <w:tcPr>
            <w:tcW w:w="1559" w:type="dxa"/>
            <w:vAlign w:val="center"/>
          </w:tcPr>
          <w:p w:rsidR="00E65D75" w:rsidRDefault="00AE4D04">
            <w:pPr>
              <w:ind w:left="0" w:hanging="2"/>
              <w:jc w:val="center"/>
              <w:rPr>
                <w:rFonts w:ascii="Arial" w:eastAsia="Arial" w:hAnsi="Arial" w:cs="Arial"/>
                <w:sz w:val="20"/>
                <w:szCs w:val="20"/>
              </w:rPr>
            </w:pPr>
            <w:r>
              <w:rPr>
                <w:rFonts w:ascii="Arial" w:eastAsia="Arial" w:hAnsi="Arial" w:cs="Arial"/>
                <w:b/>
                <w:sz w:val="20"/>
                <w:szCs w:val="20"/>
              </w:rPr>
              <w:t>Valor unitario (sin IVA)</w:t>
            </w:r>
          </w:p>
        </w:tc>
        <w:tc>
          <w:tcPr>
            <w:tcW w:w="1560" w:type="dxa"/>
            <w:vAlign w:val="center"/>
          </w:tcPr>
          <w:p w:rsidR="00E65D75" w:rsidRDefault="00AE4D04">
            <w:pPr>
              <w:ind w:left="0" w:hanging="2"/>
              <w:jc w:val="center"/>
              <w:rPr>
                <w:rFonts w:ascii="Arial" w:eastAsia="Arial" w:hAnsi="Arial" w:cs="Arial"/>
                <w:sz w:val="20"/>
                <w:szCs w:val="20"/>
              </w:rPr>
            </w:pPr>
            <w:r>
              <w:rPr>
                <w:rFonts w:ascii="Arial" w:eastAsia="Arial" w:hAnsi="Arial" w:cs="Arial"/>
                <w:b/>
                <w:sz w:val="20"/>
                <w:szCs w:val="20"/>
              </w:rPr>
              <w:t>Valor unitario</w:t>
            </w:r>
          </w:p>
          <w:p w:rsidR="00E65D75" w:rsidRDefault="00AE4D04">
            <w:pPr>
              <w:ind w:left="0" w:hanging="2"/>
              <w:jc w:val="center"/>
              <w:rPr>
                <w:rFonts w:ascii="Arial" w:eastAsia="Arial" w:hAnsi="Arial" w:cs="Arial"/>
                <w:sz w:val="20"/>
                <w:szCs w:val="20"/>
              </w:rPr>
            </w:pPr>
            <w:r>
              <w:rPr>
                <w:rFonts w:ascii="Arial" w:eastAsia="Arial" w:hAnsi="Arial" w:cs="Arial"/>
                <w:b/>
                <w:sz w:val="20"/>
                <w:szCs w:val="20"/>
              </w:rPr>
              <w:t>(con IVA)</w:t>
            </w:r>
          </w:p>
        </w:tc>
      </w:tr>
      <w:tr w:rsidR="00E65D75">
        <w:tc>
          <w:tcPr>
            <w:tcW w:w="4077" w:type="dxa"/>
            <w:vAlign w:val="center"/>
          </w:tcPr>
          <w:p w:rsidR="00E65D75" w:rsidRDefault="00AE4D04">
            <w:pPr>
              <w:numPr>
                <w:ilvl w:val="0"/>
                <w:numId w:val="6"/>
              </w:numPr>
              <w:pBdr>
                <w:top w:val="nil"/>
                <w:left w:val="nil"/>
                <w:bottom w:val="nil"/>
                <w:right w:val="nil"/>
                <w:between w:val="nil"/>
              </w:pBdr>
              <w:spacing w:line="276" w:lineRule="auto"/>
              <w:ind w:left="0" w:hanging="2"/>
              <w:jc w:val="both"/>
              <w:rPr>
                <w:rFonts w:ascii="Arial" w:eastAsia="Arial" w:hAnsi="Arial" w:cs="Arial"/>
                <w:color w:val="000000"/>
                <w:sz w:val="18"/>
                <w:szCs w:val="18"/>
              </w:rPr>
            </w:pPr>
            <w:r>
              <w:rPr>
                <w:rFonts w:ascii="Arial" w:eastAsia="Arial" w:hAnsi="Arial" w:cs="Arial"/>
                <w:color w:val="000000"/>
                <w:sz w:val="18"/>
                <w:szCs w:val="18"/>
              </w:rPr>
              <w:lastRenderedPageBreak/>
              <w:t>Análisis de metales en PM2.5 por ICP-MS, incluyendo aluminio, antimonio, arsénico, bario, berilio, calcio, cadmio, cromo, cobalto, cobre, plomo, hierro, magnesio, manganeso, molibdeno, níquel, selenio, plata, potasio, sodio, vanadio, zinc.</w:t>
            </w:r>
          </w:p>
          <w:p w:rsidR="00E65D75" w:rsidRDefault="00AE4D04">
            <w:pPr>
              <w:numPr>
                <w:ilvl w:val="0"/>
                <w:numId w:val="6"/>
              </w:numPr>
              <w:pBdr>
                <w:top w:val="nil"/>
                <w:left w:val="nil"/>
                <w:bottom w:val="nil"/>
                <w:right w:val="nil"/>
                <w:between w:val="nil"/>
              </w:pBdr>
              <w:spacing w:line="276" w:lineRule="auto"/>
              <w:ind w:left="0" w:hanging="2"/>
              <w:jc w:val="both"/>
              <w:rPr>
                <w:rFonts w:ascii="Arial" w:eastAsia="Arial" w:hAnsi="Arial" w:cs="Arial"/>
                <w:color w:val="000000"/>
                <w:sz w:val="18"/>
                <w:szCs w:val="18"/>
              </w:rPr>
            </w:pPr>
            <w:r>
              <w:rPr>
                <w:rFonts w:ascii="Arial" w:eastAsia="Arial" w:hAnsi="Arial" w:cs="Arial"/>
                <w:color w:val="000000"/>
                <w:sz w:val="18"/>
                <w:szCs w:val="18"/>
              </w:rPr>
              <w:t>Análisis de OC y</w:t>
            </w:r>
            <w:r>
              <w:rPr>
                <w:rFonts w:ascii="Arial" w:eastAsia="Arial" w:hAnsi="Arial" w:cs="Arial"/>
                <w:color w:val="000000"/>
                <w:sz w:val="18"/>
                <w:szCs w:val="18"/>
              </w:rPr>
              <w:t xml:space="preserve"> EC (Carbono Orgánico y Carbono Elemental) en PM2.5.</w:t>
            </w:r>
          </w:p>
          <w:p w:rsidR="00E65D75" w:rsidRDefault="00AE4D04">
            <w:pPr>
              <w:numPr>
                <w:ilvl w:val="0"/>
                <w:numId w:val="6"/>
              </w:numPr>
              <w:shd w:val="clear" w:color="auto" w:fill="FFFFFF"/>
              <w:ind w:left="0" w:hanging="2"/>
              <w:jc w:val="both"/>
              <w:rPr>
                <w:rFonts w:ascii="Arial" w:eastAsia="Arial" w:hAnsi="Arial" w:cs="Arial"/>
                <w:sz w:val="18"/>
                <w:szCs w:val="18"/>
              </w:rPr>
            </w:pPr>
            <w:r>
              <w:rPr>
                <w:rFonts w:ascii="Arial" w:eastAsia="Arial" w:hAnsi="Arial" w:cs="Arial"/>
                <w:sz w:val="18"/>
                <w:szCs w:val="18"/>
              </w:rPr>
              <w:t>Análisis de iones por cromatografía iónica (fluoruro, cloruro, nitrato, sulfato, potasio, sodio, magnesio y calcio) en muestras PM2.5.</w:t>
            </w:r>
          </w:p>
          <w:p w:rsidR="00E65D75" w:rsidRDefault="00AE4D04">
            <w:pPr>
              <w:numPr>
                <w:ilvl w:val="0"/>
                <w:numId w:val="6"/>
              </w:numPr>
              <w:shd w:val="clear" w:color="auto" w:fill="FFFFFF"/>
              <w:ind w:left="0" w:hanging="2"/>
              <w:jc w:val="both"/>
              <w:rPr>
                <w:rFonts w:ascii="Arial" w:eastAsia="Arial" w:hAnsi="Arial" w:cs="Arial"/>
                <w:sz w:val="18"/>
                <w:szCs w:val="18"/>
              </w:rPr>
            </w:pPr>
            <w:r>
              <w:rPr>
                <w:rFonts w:ascii="Arial" w:eastAsia="Arial" w:hAnsi="Arial" w:cs="Arial"/>
                <w:sz w:val="18"/>
                <w:szCs w:val="18"/>
              </w:rPr>
              <w:t>Análisis de HAPs particulado en PM2.5</w:t>
            </w:r>
          </w:p>
        </w:tc>
        <w:tc>
          <w:tcPr>
            <w:tcW w:w="1134"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Cantidad</w:t>
            </w:r>
          </w:p>
        </w:tc>
        <w:tc>
          <w:tcPr>
            <w:tcW w:w="1276"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40</w:t>
            </w:r>
          </w:p>
        </w:tc>
        <w:tc>
          <w:tcPr>
            <w:tcW w:w="1559"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US$ 193.87</w:t>
            </w:r>
          </w:p>
        </w:tc>
        <w:tc>
          <w:tcPr>
            <w:tcW w:w="1560"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US$ 7,754.79</w:t>
            </w:r>
          </w:p>
        </w:tc>
      </w:tr>
      <w:tr w:rsidR="00E65D75">
        <w:tc>
          <w:tcPr>
            <w:tcW w:w="8046" w:type="dxa"/>
            <w:gridSpan w:val="4"/>
            <w:vAlign w:val="center"/>
          </w:tcPr>
          <w:p w:rsidR="00E65D75" w:rsidRDefault="00AE4D04">
            <w:pPr>
              <w:ind w:left="0" w:hanging="2"/>
              <w:jc w:val="both"/>
              <w:rPr>
                <w:rFonts w:ascii="Arial" w:eastAsia="Arial" w:hAnsi="Arial" w:cs="Arial"/>
                <w:sz w:val="20"/>
                <w:szCs w:val="20"/>
              </w:rPr>
            </w:pPr>
            <w:r>
              <w:rPr>
                <w:rFonts w:ascii="Arial" w:eastAsia="Arial" w:hAnsi="Arial" w:cs="Arial"/>
                <w:b/>
                <w:sz w:val="20"/>
                <w:szCs w:val="20"/>
              </w:rPr>
              <w:t>VALOR TOTAL (sin IVA)</w:t>
            </w:r>
          </w:p>
        </w:tc>
        <w:tc>
          <w:tcPr>
            <w:tcW w:w="1560"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US$ 7,754.79</w:t>
            </w:r>
          </w:p>
        </w:tc>
      </w:tr>
      <w:tr w:rsidR="00E65D75">
        <w:tc>
          <w:tcPr>
            <w:tcW w:w="8046" w:type="dxa"/>
            <w:gridSpan w:val="4"/>
            <w:vAlign w:val="center"/>
          </w:tcPr>
          <w:p w:rsidR="00E65D75" w:rsidRDefault="00AE4D04">
            <w:pPr>
              <w:ind w:left="0" w:hanging="2"/>
              <w:jc w:val="both"/>
              <w:rPr>
                <w:rFonts w:ascii="Arial" w:eastAsia="Arial" w:hAnsi="Arial" w:cs="Arial"/>
                <w:sz w:val="20"/>
                <w:szCs w:val="20"/>
              </w:rPr>
            </w:pPr>
            <w:r>
              <w:rPr>
                <w:rFonts w:ascii="Arial" w:eastAsia="Arial" w:hAnsi="Arial" w:cs="Arial"/>
                <w:b/>
                <w:sz w:val="20"/>
                <w:szCs w:val="20"/>
              </w:rPr>
              <w:t>IVA</w:t>
            </w:r>
          </w:p>
        </w:tc>
        <w:tc>
          <w:tcPr>
            <w:tcW w:w="1560"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US$  1,923.19</w:t>
            </w:r>
          </w:p>
        </w:tc>
      </w:tr>
      <w:tr w:rsidR="00E65D75">
        <w:tc>
          <w:tcPr>
            <w:tcW w:w="8046" w:type="dxa"/>
            <w:gridSpan w:val="4"/>
            <w:vAlign w:val="center"/>
          </w:tcPr>
          <w:p w:rsidR="00E65D75" w:rsidRDefault="00AE4D04">
            <w:pPr>
              <w:ind w:left="0" w:hanging="2"/>
              <w:jc w:val="both"/>
              <w:rPr>
                <w:rFonts w:ascii="Arial" w:eastAsia="Arial" w:hAnsi="Arial" w:cs="Arial"/>
                <w:sz w:val="20"/>
                <w:szCs w:val="20"/>
              </w:rPr>
            </w:pPr>
            <w:r>
              <w:rPr>
                <w:rFonts w:ascii="Arial" w:eastAsia="Arial" w:hAnsi="Arial" w:cs="Arial"/>
                <w:b/>
                <w:sz w:val="20"/>
                <w:szCs w:val="20"/>
              </w:rPr>
              <w:t>VALOR TOTAL (con IVA)</w:t>
            </w:r>
          </w:p>
        </w:tc>
        <w:tc>
          <w:tcPr>
            <w:tcW w:w="1560" w:type="dxa"/>
            <w:vAlign w:val="center"/>
          </w:tcPr>
          <w:p w:rsidR="00E65D75" w:rsidRDefault="00AE4D04">
            <w:pPr>
              <w:ind w:left="0" w:hanging="2"/>
              <w:jc w:val="center"/>
              <w:rPr>
                <w:rFonts w:ascii="Arial" w:eastAsia="Arial" w:hAnsi="Arial" w:cs="Arial"/>
                <w:sz w:val="20"/>
                <w:szCs w:val="20"/>
              </w:rPr>
            </w:pPr>
            <w:r>
              <w:rPr>
                <w:rFonts w:ascii="Arial" w:eastAsia="Arial" w:hAnsi="Arial" w:cs="Arial"/>
                <w:sz w:val="20"/>
                <w:szCs w:val="20"/>
              </w:rPr>
              <w:t>US$ 9,677.98</w:t>
            </w:r>
          </w:p>
        </w:tc>
      </w:tr>
    </w:tbl>
    <w:p w:rsidR="00E65D75" w:rsidRDefault="00E65D75">
      <w:pPr>
        <w:ind w:left="0" w:hanging="2"/>
        <w:jc w:val="both"/>
        <w:rPr>
          <w:rFonts w:ascii="Arial" w:eastAsia="Arial" w:hAnsi="Arial" w:cs="Arial"/>
          <w:sz w:val="20"/>
          <w:szCs w:val="20"/>
        </w:rPr>
      </w:pPr>
    </w:p>
    <w:p w:rsidR="00E65D75" w:rsidRDefault="00AE4D04">
      <w:pPr>
        <w:ind w:left="0" w:hanging="2"/>
        <w:jc w:val="both"/>
        <w:rPr>
          <w:rFonts w:ascii="Arial" w:eastAsia="Arial" w:hAnsi="Arial" w:cs="Arial"/>
          <w:sz w:val="20"/>
          <w:szCs w:val="20"/>
        </w:rPr>
      </w:pPr>
      <w:r>
        <w:rPr>
          <w:rFonts w:ascii="Arial" w:eastAsia="Arial" w:hAnsi="Arial" w:cs="Arial"/>
          <w:b/>
          <w:sz w:val="20"/>
          <w:szCs w:val="20"/>
        </w:rPr>
        <w:t xml:space="preserve">Nota: </w:t>
      </w:r>
      <w:r>
        <w:rPr>
          <w:rFonts w:ascii="Arial" w:eastAsia="Arial" w:hAnsi="Arial" w:cs="Arial"/>
          <w:sz w:val="20"/>
          <w:szCs w:val="20"/>
        </w:rPr>
        <w:t>El valor de IVA reportado en el formato, equivale en este caso a los impuestos para los procesos internacionales y corresponde al 24,8%, el cual incluye 19% de IVA más 4.8% de estampillas institucionales y 1% estampilla pro deporte.</w:t>
      </w:r>
    </w:p>
    <w:p w:rsidR="00E65D75" w:rsidRDefault="00E65D75">
      <w:pPr>
        <w:ind w:left="0" w:hanging="2"/>
        <w:jc w:val="both"/>
        <w:rPr>
          <w:rFonts w:ascii="Arial" w:eastAsia="Arial" w:hAnsi="Arial" w:cs="Arial"/>
          <w:sz w:val="20"/>
          <w:szCs w:val="20"/>
        </w:rPr>
      </w:pPr>
    </w:p>
    <w:p w:rsidR="00E65D75" w:rsidRDefault="00AE4D04">
      <w:pPr>
        <w:numPr>
          <w:ilvl w:val="0"/>
          <w:numId w:val="5"/>
        </w:numPr>
        <w:pBdr>
          <w:top w:val="nil"/>
          <w:left w:val="nil"/>
          <w:bottom w:val="nil"/>
          <w:right w:val="nil"/>
          <w:between w:val="nil"/>
        </w:pBdr>
        <w:spacing w:line="240" w:lineRule="auto"/>
        <w:ind w:left="0" w:right="79" w:hanging="2"/>
        <w:jc w:val="both"/>
        <w:rPr>
          <w:rFonts w:ascii="Arial" w:eastAsia="Arial" w:hAnsi="Arial" w:cs="Arial"/>
          <w:color w:val="000000"/>
          <w:sz w:val="20"/>
          <w:szCs w:val="20"/>
        </w:rPr>
      </w:pPr>
      <w:r>
        <w:rPr>
          <w:rFonts w:ascii="Arial" w:eastAsia="Arial" w:hAnsi="Arial" w:cs="Arial"/>
          <w:b/>
          <w:color w:val="000000"/>
          <w:sz w:val="20"/>
          <w:szCs w:val="20"/>
        </w:rPr>
        <w:t>OBLIGACIONES:</w:t>
      </w:r>
      <w:r>
        <w:rPr>
          <w:rFonts w:ascii="Arial" w:eastAsia="Arial" w:hAnsi="Arial" w:cs="Arial"/>
          <w:color w:val="000000"/>
          <w:sz w:val="20"/>
          <w:szCs w:val="20"/>
        </w:rPr>
        <w:t xml:space="preserve"> Son los compromisos a cargo de las partes y que serán esenciales para el adecuado desarrollo y ejecución del objeto contractual. </w:t>
      </w:r>
    </w:p>
    <w:p w:rsidR="00E65D75" w:rsidRDefault="00E65D75">
      <w:pPr>
        <w:ind w:left="0" w:hanging="2"/>
        <w:jc w:val="both"/>
        <w:rPr>
          <w:rFonts w:ascii="Arial" w:eastAsia="Arial" w:hAnsi="Arial" w:cs="Arial"/>
          <w:sz w:val="20"/>
          <w:szCs w:val="20"/>
        </w:rPr>
      </w:pPr>
    </w:p>
    <w:p w:rsidR="00E65D75" w:rsidRDefault="00AE4D04">
      <w:pPr>
        <w:numPr>
          <w:ilvl w:val="1"/>
          <w:numId w:val="7"/>
        </w:numPr>
        <w:ind w:left="0" w:hanging="2"/>
        <w:jc w:val="both"/>
        <w:rPr>
          <w:rFonts w:ascii="Arial" w:eastAsia="Arial" w:hAnsi="Arial" w:cs="Arial"/>
          <w:sz w:val="20"/>
          <w:szCs w:val="20"/>
        </w:rPr>
      </w:pPr>
      <w:r>
        <w:rPr>
          <w:rFonts w:ascii="Arial" w:eastAsia="Arial" w:hAnsi="Arial" w:cs="Arial"/>
          <w:sz w:val="20"/>
          <w:szCs w:val="20"/>
        </w:rPr>
        <w:t xml:space="preserve">OBLIGACIONES DE LA ENTIDAD CONTRATANTE: </w:t>
      </w:r>
    </w:p>
    <w:p w:rsidR="00E65D75" w:rsidRDefault="00E65D75">
      <w:pPr>
        <w:ind w:left="0" w:hanging="2"/>
        <w:jc w:val="both"/>
        <w:rPr>
          <w:rFonts w:ascii="Arial" w:eastAsia="Arial" w:hAnsi="Arial" w:cs="Arial"/>
          <w:sz w:val="20"/>
          <w:szCs w:val="20"/>
        </w:rPr>
      </w:pPr>
    </w:p>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El POLITÉCNICO, se obliga a: </w:t>
      </w:r>
    </w:p>
    <w:p w:rsidR="00E65D75" w:rsidRDefault="00AE4D04">
      <w:pPr>
        <w:numPr>
          <w:ilvl w:val="0"/>
          <w:numId w:val="2"/>
        </w:numPr>
        <w:ind w:left="0" w:hanging="2"/>
        <w:jc w:val="both"/>
        <w:rPr>
          <w:rFonts w:ascii="Arial" w:eastAsia="Arial" w:hAnsi="Arial" w:cs="Arial"/>
          <w:sz w:val="20"/>
          <w:szCs w:val="20"/>
        </w:rPr>
      </w:pPr>
      <w:r>
        <w:rPr>
          <w:rFonts w:ascii="Arial" w:eastAsia="Arial" w:hAnsi="Arial" w:cs="Arial"/>
          <w:sz w:val="20"/>
          <w:szCs w:val="20"/>
        </w:rPr>
        <w:t>Pagar oportunamente el valor del contrato, en la for</w:t>
      </w:r>
      <w:r>
        <w:rPr>
          <w:rFonts w:ascii="Arial" w:eastAsia="Arial" w:hAnsi="Arial" w:cs="Arial"/>
          <w:sz w:val="20"/>
          <w:szCs w:val="20"/>
        </w:rPr>
        <w:t>ma pactada.</w:t>
      </w:r>
    </w:p>
    <w:p w:rsidR="00E65D75" w:rsidRDefault="00AE4D04">
      <w:pPr>
        <w:numPr>
          <w:ilvl w:val="0"/>
          <w:numId w:val="2"/>
        </w:numPr>
        <w:ind w:left="0" w:hanging="2"/>
        <w:jc w:val="both"/>
        <w:rPr>
          <w:rFonts w:ascii="Arial" w:eastAsia="Arial" w:hAnsi="Arial" w:cs="Arial"/>
          <w:sz w:val="20"/>
          <w:szCs w:val="20"/>
        </w:rPr>
      </w:pPr>
      <w:r>
        <w:rPr>
          <w:rFonts w:ascii="Arial" w:eastAsia="Arial" w:hAnsi="Arial" w:cs="Arial"/>
          <w:sz w:val="20"/>
          <w:szCs w:val="20"/>
        </w:rPr>
        <w:t>Proporcionar las condiciones requeridas por EL CONTRATISTA para la ejecución del objeto contratado.</w:t>
      </w:r>
    </w:p>
    <w:p w:rsidR="00E65D75" w:rsidRDefault="00AE4D04">
      <w:pPr>
        <w:numPr>
          <w:ilvl w:val="0"/>
          <w:numId w:val="2"/>
        </w:numPr>
        <w:ind w:left="0" w:hanging="2"/>
        <w:jc w:val="both"/>
        <w:rPr>
          <w:rFonts w:ascii="Arial" w:eastAsia="Arial" w:hAnsi="Arial" w:cs="Arial"/>
          <w:sz w:val="20"/>
          <w:szCs w:val="20"/>
        </w:rPr>
      </w:pPr>
      <w:r>
        <w:rPr>
          <w:rFonts w:ascii="Arial" w:eastAsia="Arial" w:hAnsi="Arial" w:cs="Arial"/>
          <w:sz w:val="20"/>
          <w:szCs w:val="20"/>
        </w:rPr>
        <w:t>Las muestras serán enviadas bajo el protocolo de custodia del Laboratorio GHYGAM a través de una empresa de logística líder en el mundo.</w:t>
      </w:r>
    </w:p>
    <w:p w:rsidR="00E65D75" w:rsidRDefault="00E65D75">
      <w:pPr>
        <w:ind w:left="0" w:hanging="2"/>
        <w:jc w:val="both"/>
        <w:rPr>
          <w:rFonts w:ascii="Arial" w:eastAsia="Arial" w:hAnsi="Arial" w:cs="Arial"/>
          <w:sz w:val="20"/>
          <w:szCs w:val="20"/>
        </w:rPr>
      </w:pPr>
    </w:p>
    <w:p w:rsidR="00E65D75" w:rsidRDefault="00AE4D04">
      <w:pPr>
        <w:numPr>
          <w:ilvl w:val="1"/>
          <w:numId w:val="7"/>
        </w:numPr>
        <w:ind w:left="0" w:hanging="2"/>
        <w:jc w:val="both"/>
        <w:rPr>
          <w:rFonts w:ascii="Arial" w:eastAsia="Arial" w:hAnsi="Arial" w:cs="Arial"/>
          <w:sz w:val="20"/>
          <w:szCs w:val="20"/>
        </w:rPr>
      </w:pPr>
      <w:r>
        <w:rPr>
          <w:rFonts w:ascii="Arial" w:eastAsia="Arial" w:hAnsi="Arial" w:cs="Arial"/>
          <w:sz w:val="20"/>
          <w:szCs w:val="20"/>
        </w:rPr>
        <w:t>OBLIGA</w:t>
      </w:r>
      <w:r>
        <w:rPr>
          <w:rFonts w:ascii="Arial" w:eastAsia="Arial" w:hAnsi="Arial" w:cs="Arial"/>
          <w:sz w:val="20"/>
          <w:szCs w:val="20"/>
        </w:rPr>
        <w:t>CIONES DEL CONTRATISTA</w:t>
      </w:r>
    </w:p>
    <w:p w:rsidR="00E65D75" w:rsidRDefault="00E65D75">
      <w:pPr>
        <w:ind w:left="0" w:hanging="2"/>
        <w:jc w:val="both"/>
        <w:rPr>
          <w:rFonts w:ascii="Arial" w:eastAsia="Arial" w:hAnsi="Arial" w:cs="Arial"/>
          <w:sz w:val="20"/>
          <w:szCs w:val="20"/>
        </w:rPr>
      </w:pPr>
    </w:p>
    <w:p w:rsidR="00E65D75" w:rsidRDefault="00AE4D04">
      <w:pPr>
        <w:numPr>
          <w:ilvl w:val="0"/>
          <w:numId w:val="1"/>
        </w:numPr>
        <w:ind w:left="0" w:hanging="2"/>
        <w:jc w:val="both"/>
        <w:rPr>
          <w:rFonts w:ascii="Arial" w:eastAsia="Arial" w:hAnsi="Arial" w:cs="Arial"/>
          <w:sz w:val="20"/>
          <w:szCs w:val="20"/>
        </w:rPr>
      </w:pPr>
      <w:r>
        <w:rPr>
          <w:rFonts w:ascii="Arial" w:eastAsia="Arial" w:hAnsi="Arial" w:cs="Arial"/>
          <w:sz w:val="20"/>
          <w:szCs w:val="20"/>
        </w:rPr>
        <w:t xml:space="preserve">Tomar las medidas necesarias para garantizar la debida y oportuna ejecución del contrato. </w:t>
      </w:r>
    </w:p>
    <w:p w:rsidR="00E65D75" w:rsidRDefault="00AE4D04">
      <w:pPr>
        <w:numPr>
          <w:ilvl w:val="0"/>
          <w:numId w:val="1"/>
        </w:numPr>
        <w:ind w:left="0" w:hanging="2"/>
        <w:jc w:val="both"/>
        <w:rPr>
          <w:rFonts w:ascii="Arial" w:eastAsia="Arial" w:hAnsi="Arial" w:cs="Arial"/>
          <w:sz w:val="20"/>
          <w:szCs w:val="20"/>
        </w:rPr>
      </w:pPr>
      <w:r>
        <w:rPr>
          <w:rFonts w:ascii="Arial" w:eastAsia="Arial" w:hAnsi="Arial" w:cs="Arial"/>
          <w:sz w:val="20"/>
          <w:szCs w:val="20"/>
        </w:rPr>
        <w:t>Obrar con lealtad y buena fe en las distintas etapas contractuales, evitando dilaciones y en trabamientos tanto en cumplimiento de requisitos</w:t>
      </w:r>
      <w:r>
        <w:rPr>
          <w:rFonts w:ascii="Arial" w:eastAsia="Arial" w:hAnsi="Arial" w:cs="Arial"/>
          <w:sz w:val="20"/>
          <w:szCs w:val="20"/>
        </w:rPr>
        <w:t xml:space="preserve"> de ejecución como en el desarrollo del contrato. </w:t>
      </w:r>
    </w:p>
    <w:p w:rsidR="00E65D75" w:rsidRDefault="00AE4D04">
      <w:pPr>
        <w:numPr>
          <w:ilvl w:val="0"/>
          <w:numId w:val="1"/>
        </w:numPr>
        <w:ind w:left="0" w:hanging="2"/>
        <w:jc w:val="both"/>
        <w:rPr>
          <w:rFonts w:ascii="Arial" w:eastAsia="Arial" w:hAnsi="Arial" w:cs="Arial"/>
          <w:sz w:val="20"/>
          <w:szCs w:val="20"/>
        </w:rPr>
      </w:pPr>
      <w:r>
        <w:rPr>
          <w:rFonts w:ascii="Arial" w:eastAsia="Arial" w:hAnsi="Arial" w:cs="Arial"/>
          <w:sz w:val="20"/>
          <w:szCs w:val="20"/>
        </w:rPr>
        <w:t xml:space="preserve">Mantener reserva profesional sobre los asuntos o la información que le sea suministrada con motivo de la prestación de sus servicios. </w:t>
      </w:r>
    </w:p>
    <w:p w:rsidR="00E65D75" w:rsidRDefault="00AE4D04">
      <w:pPr>
        <w:numPr>
          <w:ilvl w:val="0"/>
          <w:numId w:val="1"/>
        </w:numPr>
        <w:ind w:left="0" w:hanging="2"/>
        <w:jc w:val="both"/>
        <w:rPr>
          <w:rFonts w:ascii="Arial" w:eastAsia="Arial" w:hAnsi="Arial" w:cs="Arial"/>
          <w:sz w:val="20"/>
          <w:szCs w:val="20"/>
        </w:rPr>
      </w:pPr>
      <w:r>
        <w:rPr>
          <w:rFonts w:ascii="Arial" w:eastAsia="Arial" w:hAnsi="Arial" w:cs="Arial"/>
          <w:sz w:val="20"/>
          <w:szCs w:val="20"/>
        </w:rPr>
        <w:t xml:space="preserve">Cumplir con el objeto del contrato en la forma y tiempo pacto </w:t>
      </w:r>
    </w:p>
    <w:p w:rsidR="00E65D75" w:rsidRDefault="00AE4D04">
      <w:pPr>
        <w:numPr>
          <w:ilvl w:val="0"/>
          <w:numId w:val="1"/>
        </w:numPr>
        <w:ind w:left="0" w:hanging="2"/>
        <w:jc w:val="both"/>
        <w:rPr>
          <w:rFonts w:ascii="Arial" w:eastAsia="Arial" w:hAnsi="Arial" w:cs="Arial"/>
          <w:sz w:val="20"/>
          <w:szCs w:val="20"/>
        </w:rPr>
      </w:pPr>
      <w:r>
        <w:rPr>
          <w:rFonts w:ascii="Arial" w:eastAsia="Arial" w:hAnsi="Arial" w:cs="Arial"/>
          <w:sz w:val="20"/>
          <w:szCs w:val="20"/>
        </w:rPr>
        <w:t>Atender</w:t>
      </w:r>
      <w:r>
        <w:rPr>
          <w:rFonts w:ascii="Arial" w:eastAsia="Arial" w:hAnsi="Arial" w:cs="Arial"/>
          <w:sz w:val="20"/>
          <w:szCs w:val="20"/>
        </w:rPr>
        <w:t xml:space="preserve"> las consultas y sugerencias del supervisor asignado por parte del Politécnico Jaime Isaza Cadavid, respecto del objeto contractual. </w:t>
      </w:r>
    </w:p>
    <w:p w:rsidR="00E65D75" w:rsidRDefault="00E65D75">
      <w:pPr>
        <w:ind w:left="0" w:hanging="2"/>
        <w:jc w:val="both"/>
        <w:rPr>
          <w:rFonts w:ascii="Arial" w:eastAsia="Arial" w:hAnsi="Arial" w:cs="Arial"/>
          <w:sz w:val="20"/>
          <w:szCs w:val="20"/>
        </w:rPr>
      </w:pPr>
    </w:p>
    <w:p w:rsidR="00E65D75" w:rsidRDefault="00AE4D04">
      <w:pPr>
        <w:numPr>
          <w:ilvl w:val="0"/>
          <w:numId w:val="7"/>
        </w:numPr>
        <w:ind w:left="0" w:hanging="2"/>
        <w:jc w:val="both"/>
        <w:rPr>
          <w:rFonts w:ascii="Arial" w:eastAsia="Arial" w:hAnsi="Arial" w:cs="Arial"/>
          <w:sz w:val="20"/>
          <w:szCs w:val="20"/>
        </w:rPr>
      </w:pPr>
      <w:r>
        <w:rPr>
          <w:rFonts w:ascii="Arial" w:eastAsia="Arial" w:hAnsi="Arial" w:cs="Arial"/>
          <w:b/>
          <w:sz w:val="20"/>
          <w:szCs w:val="20"/>
        </w:rPr>
        <w:t>LA MODALIDAD DE SELECCIÓN DEL CONTRATISTA, SU JUSTIFICACIÓN, INCLUYENDO LOS FUNDAMENTOS JURÍDICOS QUE SOPORTAN SU ELECCIÓ</w:t>
      </w:r>
      <w:r>
        <w:rPr>
          <w:rFonts w:ascii="Arial" w:eastAsia="Arial" w:hAnsi="Arial" w:cs="Arial"/>
          <w:b/>
          <w:sz w:val="20"/>
          <w:szCs w:val="20"/>
        </w:rPr>
        <w:t xml:space="preserve">N </w:t>
      </w:r>
    </w:p>
    <w:p w:rsidR="00E65D75" w:rsidRDefault="00AE4D04">
      <w:pPr>
        <w:ind w:left="0" w:hanging="2"/>
        <w:rPr>
          <w:rFonts w:ascii="Arial" w:eastAsia="Arial" w:hAnsi="Arial" w:cs="Arial"/>
          <w:sz w:val="20"/>
          <w:szCs w:val="20"/>
        </w:rPr>
      </w:pPr>
      <w:r>
        <w:rPr>
          <w:rFonts w:ascii="Arial" w:eastAsia="Arial" w:hAnsi="Arial" w:cs="Arial"/>
          <w:sz w:val="20"/>
          <w:szCs w:val="20"/>
        </w:rPr>
        <w:t>La presente contratación se realizará de forma directa soportada en lo siguiente:</w:t>
      </w:r>
    </w:p>
    <w:p w:rsidR="00E65D75" w:rsidRDefault="00E65D75">
      <w:pPr>
        <w:ind w:left="0" w:hanging="2"/>
        <w:rPr>
          <w:rFonts w:ascii="Arial" w:eastAsia="Arial" w:hAnsi="Arial" w:cs="Arial"/>
          <w:sz w:val="20"/>
          <w:szCs w:val="20"/>
        </w:rPr>
      </w:pPr>
    </w:p>
    <w:p w:rsidR="00E65D75" w:rsidRDefault="00AE4D04">
      <w:pPr>
        <w:numPr>
          <w:ilvl w:val="0"/>
          <w:numId w:val="3"/>
        </w:numPr>
        <w:ind w:left="0" w:hanging="2"/>
        <w:jc w:val="both"/>
        <w:rPr>
          <w:rFonts w:ascii="Arial" w:eastAsia="Arial" w:hAnsi="Arial" w:cs="Arial"/>
          <w:sz w:val="20"/>
          <w:szCs w:val="20"/>
        </w:rPr>
      </w:pPr>
      <w:r>
        <w:rPr>
          <w:rFonts w:ascii="Arial" w:eastAsia="Arial" w:hAnsi="Arial" w:cs="Arial"/>
          <w:sz w:val="20"/>
          <w:szCs w:val="20"/>
        </w:rPr>
        <w:t xml:space="preserve">El literal “h” del numeral 4º del artículo 2º de la Ley 1150 de 2007 establece que se pueden celebrar de manera directa los contratos: “Para la prestación de servicios profesionales y de apoyo a la gestión, (…)”. </w:t>
      </w:r>
    </w:p>
    <w:p w:rsidR="00E65D75" w:rsidRDefault="00E65D75">
      <w:pPr>
        <w:ind w:left="0" w:hanging="2"/>
        <w:jc w:val="both"/>
        <w:rPr>
          <w:rFonts w:ascii="Arial" w:eastAsia="Arial" w:hAnsi="Arial" w:cs="Arial"/>
          <w:sz w:val="20"/>
          <w:szCs w:val="20"/>
        </w:rPr>
      </w:pPr>
    </w:p>
    <w:p w:rsidR="00E65D75" w:rsidRDefault="00AE4D04">
      <w:pPr>
        <w:numPr>
          <w:ilvl w:val="0"/>
          <w:numId w:val="3"/>
        </w:numPr>
        <w:ind w:left="0" w:hanging="2"/>
        <w:jc w:val="both"/>
        <w:rPr>
          <w:rFonts w:ascii="Arial" w:eastAsia="Arial" w:hAnsi="Arial" w:cs="Arial"/>
          <w:sz w:val="20"/>
          <w:szCs w:val="20"/>
        </w:rPr>
      </w:pPr>
      <w:r>
        <w:rPr>
          <w:rFonts w:ascii="Arial" w:eastAsia="Arial" w:hAnsi="Arial" w:cs="Arial"/>
          <w:sz w:val="20"/>
          <w:szCs w:val="20"/>
        </w:rPr>
        <w:lastRenderedPageBreak/>
        <w:t>El mencionado servicio para realizar anál</w:t>
      </w:r>
      <w:r>
        <w:rPr>
          <w:rFonts w:ascii="Arial" w:eastAsia="Arial" w:hAnsi="Arial" w:cs="Arial"/>
          <w:sz w:val="20"/>
          <w:szCs w:val="20"/>
        </w:rPr>
        <w:t>isis químico a 40 muestras PM2.5 en aire ambiente en el marco del Convenio Interadministrativo No. 261, suscrito con el Área Metropolitana del Valle de Aburrá. Teniendo en cuenta el detalle de los análisis descritos en el numeral 4b de este documento, dent</w:t>
      </w:r>
      <w:r>
        <w:rPr>
          <w:rFonts w:ascii="Arial" w:eastAsia="Arial" w:hAnsi="Arial" w:cs="Arial"/>
          <w:sz w:val="20"/>
          <w:szCs w:val="20"/>
        </w:rPr>
        <w:t xml:space="preserve">ro de las actividades de apoyo a la gestión, de carácter asistencial, para el normal desarrollo de las actividades requeridas en el marco de ejecución del Convenio Interadministrativo No. 261, suscrito con el Área Metropolitana del Valle de Aburrá, a raíz </w:t>
      </w:r>
      <w:r>
        <w:rPr>
          <w:rFonts w:ascii="Arial" w:eastAsia="Arial" w:hAnsi="Arial" w:cs="Arial"/>
          <w:sz w:val="20"/>
          <w:szCs w:val="20"/>
        </w:rPr>
        <w:t>de la decisión de contratar el servicio con personal externo y al no contar la institución ni con los equipos adecuados ni con el personal de planta que atienda las solicitudes propias de las especificaciones técnicas descritas en el numeral.</w:t>
      </w:r>
    </w:p>
    <w:p w:rsidR="00E65D75" w:rsidRDefault="00E65D75">
      <w:pPr>
        <w:ind w:left="0" w:hanging="2"/>
        <w:jc w:val="both"/>
        <w:rPr>
          <w:rFonts w:ascii="Arial" w:eastAsia="Arial" w:hAnsi="Arial" w:cs="Arial"/>
          <w:b/>
          <w:sz w:val="20"/>
          <w:szCs w:val="20"/>
        </w:rPr>
      </w:pPr>
    </w:p>
    <w:p w:rsidR="00E65D75" w:rsidRDefault="00E65D75">
      <w:pPr>
        <w:ind w:left="0" w:hanging="2"/>
        <w:jc w:val="both"/>
        <w:rPr>
          <w:rFonts w:ascii="Arial" w:eastAsia="Arial" w:hAnsi="Arial" w:cs="Arial"/>
          <w:sz w:val="20"/>
          <w:szCs w:val="20"/>
        </w:rPr>
      </w:pPr>
    </w:p>
    <w:p w:rsidR="00E65D75" w:rsidRDefault="00AE4D04">
      <w:pPr>
        <w:numPr>
          <w:ilvl w:val="0"/>
          <w:numId w:val="7"/>
        </w:numPr>
        <w:ind w:left="0" w:hanging="2"/>
        <w:jc w:val="both"/>
        <w:rPr>
          <w:rFonts w:ascii="Arial" w:eastAsia="Arial" w:hAnsi="Arial" w:cs="Arial"/>
          <w:sz w:val="20"/>
          <w:szCs w:val="20"/>
        </w:rPr>
      </w:pPr>
      <w:r>
        <w:rPr>
          <w:rFonts w:ascii="Arial" w:eastAsia="Arial" w:hAnsi="Arial" w:cs="Arial"/>
          <w:b/>
          <w:sz w:val="20"/>
          <w:szCs w:val="20"/>
        </w:rPr>
        <w:t>EL ANALISIS DEL RIESGO Y LA FORMA DE MITIGARLO</w:t>
      </w:r>
    </w:p>
    <w:p w:rsidR="00E65D75" w:rsidRDefault="00E65D75">
      <w:pPr>
        <w:pBdr>
          <w:top w:val="nil"/>
          <w:left w:val="nil"/>
          <w:bottom w:val="nil"/>
          <w:right w:val="nil"/>
          <w:between w:val="nil"/>
        </w:pBdr>
        <w:spacing w:line="240" w:lineRule="auto"/>
        <w:ind w:left="0" w:right="80" w:hanging="2"/>
        <w:jc w:val="both"/>
        <w:rPr>
          <w:rFonts w:ascii="Arial" w:eastAsia="Arial" w:hAnsi="Arial" w:cs="Arial"/>
          <w:color w:val="000000"/>
          <w:sz w:val="20"/>
          <w:szCs w:val="20"/>
        </w:rPr>
      </w:pPr>
    </w:p>
    <w:tbl>
      <w:tblPr>
        <w:tblStyle w:val="a2"/>
        <w:tblW w:w="105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9"/>
        <w:gridCol w:w="239"/>
        <w:gridCol w:w="477"/>
        <w:gridCol w:w="1588"/>
        <w:gridCol w:w="1916"/>
        <w:gridCol w:w="393"/>
        <w:gridCol w:w="1945"/>
        <w:gridCol w:w="609"/>
        <w:gridCol w:w="605"/>
        <w:gridCol w:w="1704"/>
        <w:gridCol w:w="729"/>
      </w:tblGrid>
      <w:tr w:rsidR="00E65D75">
        <w:trPr>
          <w:cantSplit/>
          <w:trHeight w:val="918"/>
          <w:tblHeader/>
          <w:jc w:val="center"/>
        </w:trPr>
        <w:tc>
          <w:tcPr>
            <w:tcW w:w="299" w:type="dxa"/>
            <w:vMerge w:val="restart"/>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No.</w:t>
            </w:r>
          </w:p>
        </w:tc>
        <w:tc>
          <w:tcPr>
            <w:tcW w:w="239" w:type="dxa"/>
            <w:vMerge w:val="restart"/>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Etapa</w:t>
            </w:r>
          </w:p>
        </w:tc>
        <w:tc>
          <w:tcPr>
            <w:tcW w:w="477" w:type="dxa"/>
            <w:vMerge w:val="restart"/>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Tipo de riesgo</w:t>
            </w:r>
          </w:p>
        </w:tc>
        <w:tc>
          <w:tcPr>
            <w:tcW w:w="1588" w:type="dxa"/>
            <w:vMerge w:val="restart"/>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Descripción</w:t>
            </w:r>
          </w:p>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(Qué puede pasar y cómo puede ocurrir)</w:t>
            </w:r>
          </w:p>
        </w:tc>
        <w:tc>
          <w:tcPr>
            <w:tcW w:w="1916" w:type="dxa"/>
            <w:vMerge w:val="restart"/>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Consecuencia de la ocurrencia del evento</w:t>
            </w:r>
          </w:p>
        </w:tc>
        <w:tc>
          <w:tcPr>
            <w:tcW w:w="393" w:type="dxa"/>
            <w:vMerge w:val="restart"/>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¿A quién se le asigna?</w:t>
            </w:r>
          </w:p>
        </w:tc>
        <w:tc>
          <w:tcPr>
            <w:tcW w:w="1945" w:type="dxa"/>
            <w:vMerge w:val="restart"/>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Tratamiento/controles a ser implementados</w:t>
            </w:r>
          </w:p>
        </w:tc>
        <w:tc>
          <w:tcPr>
            <w:tcW w:w="609" w:type="dxa"/>
            <w:vMerge w:val="restart"/>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¿Afecta el equilibrio económico del contrato?</w:t>
            </w:r>
          </w:p>
        </w:tc>
        <w:tc>
          <w:tcPr>
            <w:tcW w:w="605" w:type="dxa"/>
            <w:vMerge w:val="restart"/>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Persona responsable por implementar el tratamiento</w:t>
            </w:r>
          </w:p>
        </w:tc>
        <w:tc>
          <w:tcPr>
            <w:tcW w:w="2433" w:type="dxa"/>
            <w:gridSpan w:val="2"/>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Monitoreo y revisión</w:t>
            </w:r>
          </w:p>
        </w:tc>
      </w:tr>
      <w:tr w:rsidR="00E65D75">
        <w:trPr>
          <w:cantSplit/>
          <w:trHeight w:val="461"/>
          <w:tblHeader/>
          <w:jc w:val="center"/>
        </w:trPr>
        <w:tc>
          <w:tcPr>
            <w:tcW w:w="299" w:type="dxa"/>
            <w:vMerge/>
            <w:shd w:val="clear" w:color="auto" w:fill="C5E0B3"/>
            <w:vAlign w:val="center"/>
          </w:tcPr>
          <w:p w:rsidR="00E65D75" w:rsidRDefault="00E65D75">
            <w:pPr>
              <w:widowControl w:val="0"/>
              <w:pBdr>
                <w:top w:val="nil"/>
                <w:left w:val="nil"/>
                <w:bottom w:val="nil"/>
                <w:right w:val="nil"/>
                <w:between w:val="nil"/>
              </w:pBdr>
              <w:spacing w:line="276" w:lineRule="auto"/>
              <w:ind w:left="0" w:hanging="2"/>
              <w:rPr>
                <w:rFonts w:ascii="Arial Narrow" w:eastAsia="Arial Narrow" w:hAnsi="Arial Narrow" w:cs="Arial Narrow"/>
                <w:sz w:val="16"/>
                <w:szCs w:val="16"/>
              </w:rPr>
            </w:pPr>
          </w:p>
        </w:tc>
        <w:tc>
          <w:tcPr>
            <w:tcW w:w="239" w:type="dxa"/>
            <w:vMerge/>
            <w:shd w:val="clear" w:color="auto" w:fill="C5E0B3"/>
            <w:vAlign w:val="center"/>
          </w:tcPr>
          <w:p w:rsidR="00E65D75" w:rsidRDefault="00E65D75">
            <w:pPr>
              <w:widowControl w:val="0"/>
              <w:pBdr>
                <w:top w:val="nil"/>
                <w:left w:val="nil"/>
                <w:bottom w:val="nil"/>
                <w:right w:val="nil"/>
                <w:between w:val="nil"/>
              </w:pBdr>
              <w:spacing w:line="276" w:lineRule="auto"/>
              <w:ind w:left="0" w:hanging="2"/>
              <w:rPr>
                <w:rFonts w:ascii="Arial Narrow" w:eastAsia="Arial Narrow" w:hAnsi="Arial Narrow" w:cs="Arial Narrow"/>
                <w:sz w:val="16"/>
                <w:szCs w:val="16"/>
              </w:rPr>
            </w:pPr>
          </w:p>
        </w:tc>
        <w:tc>
          <w:tcPr>
            <w:tcW w:w="477" w:type="dxa"/>
            <w:vMerge/>
            <w:shd w:val="clear" w:color="auto" w:fill="C5E0B3"/>
            <w:vAlign w:val="center"/>
          </w:tcPr>
          <w:p w:rsidR="00E65D75" w:rsidRDefault="00E65D75">
            <w:pPr>
              <w:widowControl w:val="0"/>
              <w:pBdr>
                <w:top w:val="nil"/>
                <w:left w:val="nil"/>
                <w:bottom w:val="nil"/>
                <w:right w:val="nil"/>
                <w:between w:val="nil"/>
              </w:pBdr>
              <w:spacing w:line="276" w:lineRule="auto"/>
              <w:ind w:left="0" w:hanging="2"/>
              <w:rPr>
                <w:rFonts w:ascii="Arial Narrow" w:eastAsia="Arial Narrow" w:hAnsi="Arial Narrow" w:cs="Arial Narrow"/>
                <w:sz w:val="16"/>
                <w:szCs w:val="16"/>
              </w:rPr>
            </w:pPr>
          </w:p>
        </w:tc>
        <w:tc>
          <w:tcPr>
            <w:tcW w:w="1588" w:type="dxa"/>
            <w:vMerge/>
            <w:shd w:val="clear" w:color="auto" w:fill="C5E0B3"/>
            <w:vAlign w:val="center"/>
          </w:tcPr>
          <w:p w:rsidR="00E65D75" w:rsidRDefault="00E65D75">
            <w:pPr>
              <w:widowControl w:val="0"/>
              <w:pBdr>
                <w:top w:val="nil"/>
                <w:left w:val="nil"/>
                <w:bottom w:val="nil"/>
                <w:right w:val="nil"/>
                <w:between w:val="nil"/>
              </w:pBdr>
              <w:spacing w:line="276" w:lineRule="auto"/>
              <w:ind w:left="0" w:hanging="2"/>
              <w:rPr>
                <w:rFonts w:ascii="Arial Narrow" w:eastAsia="Arial Narrow" w:hAnsi="Arial Narrow" w:cs="Arial Narrow"/>
                <w:sz w:val="16"/>
                <w:szCs w:val="16"/>
              </w:rPr>
            </w:pPr>
          </w:p>
        </w:tc>
        <w:tc>
          <w:tcPr>
            <w:tcW w:w="1916" w:type="dxa"/>
            <w:vMerge/>
            <w:shd w:val="clear" w:color="auto" w:fill="C5E0B3"/>
            <w:vAlign w:val="center"/>
          </w:tcPr>
          <w:p w:rsidR="00E65D75" w:rsidRDefault="00E65D75">
            <w:pPr>
              <w:widowControl w:val="0"/>
              <w:pBdr>
                <w:top w:val="nil"/>
                <w:left w:val="nil"/>
                <w:bottom w:val="nil"/>
                <w:right w:val="nil"/>
                <w:between w:val="nil"/>
              </w:pBdr>
              <w:spacing w:line="276" w:lineRule="auto"/>
              <w:ind w:left="0" w:hanging="2"/>
              <w:rPr>
                <w:rFonts w:ascii="Arial Narrow" w:eastAsia="Arial Narrow" w:hAnsi="Arial Narrow" w:cs="Arial Narrow"/>
                <w:sz w:val="16"/>
                <w:szCs w:val="16"/>
              </w:rPr>
            </w:pPr>
          </w:p>
        </w:tc>
        <w:tc>
          <w:tcPr>
            <w:tcW w:w="393" w:type="dxa"/>
            <w:vMerge/>
            <w:shd w:val="clear" w:color="auto" w:fill="C5E0B3"/>
            <w:vAlign w:val="center"/>
          </w:tcPr>
          <w:p w:rsidR="00E65D75" w:rsidRDefault="00E65D75">
            <w:pPr>
              <w:widowControl w:val="0"/>
              <w:pBdr>
                <w:top w:val="nil"/>
                <w:left w:val="nil"/>
                <w:bottom w:val="nil"/>
                <w:right w:val="nil"/>
                <w:between w:val="nil"/>
              </w:pBdr>
              <w:spacing w:line="276" w:lineRule="auto"/>
              <w:ind w:left="0" w:hanging="2"/>
              <w:rPr>
                <w:rFonts w:ascii="Arial Narrow" w:eastAsia="Arial Narrow" w:hAnsi="Arial Narrow" w:cs="Arial Narrow"/>
                <w:sz w:val="16"/>
                <w:szCs w:val="16"/>
              </w:rPr>
            </w:pPr>
          </w:p>
        </w:tc>
        <w:tc>
          <w:tcPr>
            <w:tcW w:w="1945" w:type="dxa"/>
            <w:vMerge/>
            <w:shd w:val="clear" w:color="auto" w:fill="C5E0B3"/>
            <w:vAlign w:val="center"/>
          </w:tcPr>
          <w:p w:rsidR="00E65D75" w:rsidRDefault="00E65D75">
            <w:pPr>
              <w:widowControl w:val="0"/>
              <w:pBdr>
                <w:top w:val="nil"/>
                <w:left w:val="nil"/>
                <w:bottom w:val="nil"/>
                <w:right w:val="nil"/>
                <w:between w:val="nil"/>
              </w:pBdr>
              <w:spacing w:line="276" w:lineRule="auto"/>
              <w:ind w:left="0" w:hanging="2"/>
              <w:rPr>
                <w:rFonts w:ascii="Arial Narrow" w:eastAsia="Arial Narrow" w:hAnsi="Arial Narrow" w:cs="Arial Narrow"/>
                <w:sz w:val="16"/>
                <w:szCs w:val="16"/>
              </w:rPr>
            </w:pPr>
          </w:p>
        </w:tc>
        <w:tc>
          <w:tcPr>
            <w:tcW w:w="609" w:type="dxa"/>
            <w:vMerge/>
            <w:shd w:val="clear" w:color="auto" w:fill="C5E0B3"/>
            <w:vAlign w:val="center"/>
          </w:tcPr>
          <w:p w:rsidR="00E65D75" w:rsidRDefault="00E65D75">
            <w:pPr>
              <w:widowControl w:val="0"/>
              <w:pBdr>
                <w:top w:val="nil"/>
                <w:left w:val="nil"/>
                <w:bottom w:val="nil"/>
                <w:right w:val="nil"/>
                <w:between w:val="nil"/>
              </w:pBdr>
              <w:spacing w:line="276" w:lineRule="auto"/>
              <w:ind w:left="0" w:hanging="2"/>
              <w:rPr>
                <w:rFonts w:ascii="Arial Narrow" w:eastAsia="Arial Narrow" w:hAnsi="Arial Narrow" w:cs="Arial Narrow"/>
                <w:sz w:val="16"/>
                <w:szCs w:val="16"/>
              </w:rPr>
            </w:pPr>
          </w:p>
        </w:tc>
        <w:tc>
          <w:tcPr>
            <w:tcW w:w="605" w:type="dxa"/>
            <w:vMerge/>
            <w:shd w:val="clear" w:color="auto" w:fill="C5E0B3"/>
            <w:vAlign w:val="center"/>
          </w:tcPr>
          <w:p w:rsidR="00E65D75" w:rsidRDefault="00E65D75">
            <w:pPr>
              <w:widowControl w:val="0"/>
              <w:pBdr>
                <w:top w:val="nil"/>
                <w:left w:val="nil"/>
                <w:bottom w:val="nil"/>
                <w:right w:val="nil"/>
                <w:between w:val="nil"/>
              </w:pBdr>
              <w:spacing w:line="276" w:lineRule="auto"/>
              <w:ind w:left="0" w:hanging="2"/>
              <w:rPr>
                <w:rFonts w:ascii="Arial Narrow" w:eastAsia="Arial Narrow" w:hAnsi="Arial Narrow" w:cs="Arial Narrow"/>
                <w:sz w:val="16"/>
                <w:szCs w:val="16"/>
              </w:rPr>
            </w:pPr>
          </w:p>
        </w:tc>
        <w:tc>
          <w:tcPr>
            <w:tcW w:w="1704" w:type="dxa"/>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¿Cómo se realiza el monitoreo?</w:t>
            </w:r>
          </w:p>
        </w:tc>
        <w:tc>
          <w:tcPr>
            <w:tcW w:w="729" w:type="dxa"/>
            <w:shd w:val="clear" w:color="auto" w:fill="C5E0B3"/>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Periodicidad, ¿Cuándo?</w:t>
            </w:r>
          </w:p>
        </w:tc>
      </w:tr>
      <w:tr w:rsidR="00E65D75">
        <w:trPr>
          <w:cantSplit/>
          <w:trHeight w:val="1659"/>
          <w:jc w:val="center"/>
        </w:trPr>
        <w:tc>
          <w:tcPr>
            <w:tcW w:w="29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1</w:t>
            </w:r>
          </w:p>
        </w:tc>
        <w:tc>
          <w:tcPr>
            <w:tcW w:w="239" w:type="dxa"/>
            <w:vAlign w:val="center"/>
          </w:tcPr>
          <w:p w:rsidR="00E65D75" w:rsidRDefault="00AE4D04">
            <w:pPr>
              <w:ind w:left="0" w:right="113" w:hanging="2"/>
              <w:jc w:val="center"/>
              <w:rPr>
                <w:rFonts w:ascii="Arial Narrow" w:eastAsia="Arial Narrow" w:hAnsi="Arial Narrow" w:cs="Arial Narrow"/>
                <w:sz w:val="16"/>
                <w:szCs w:val="16"/>
              </w:rPr>
            </w:pPr>
            <w:r>
              <w:rPr>
                <w:rFonts w:ascii="Arial Narrow" w:eastAsia="Arial Narrow" w:hAnsi="Arial Narrow" w:cs="Arial Narrow"/>
                <w:b/>
                <w:sz w:val="16"/>
                <w:szCs w:val="16"/>
              </w:rPr>
              <w:t>Legalización</w:t>
            </w:r>
          </w:p>
        </w:tc>
        <w:tc>
          <w:tcPr>
            <w:tcW w:w="477" w:type="dxa"/>
            <w:vAlign w:val="center"/>
          </w:tcPr>
          <w:p w:rsidR="00E65D75" w:rsidRDefault="00AE4D04">
            <w:pPr>
              <w:ind w:left="0" w:right="113" w:hanging="2"/>
              <w:jc w:val="center"/>
              <w:rPr>
                <w:rFonts w:ascii="Arial Narrow" w:eastAsia="Arial Narrow" w:hAnsi="Arial Narrow" w:cs="Arial Narrow"/>
                <w:sz w:val="16"/>
                <w:szCs w:val="16"/>
              </w:rPr>
            </w:pPr>
            <w:r>
              <w:rPr>
                <w:rFonts w:ascii="Arial Narrow" w:eastAsia="Arial Narrow" w:hAnsi="Arial Narrow" w:cs="Arial Narrow"/>
                <w:b/>
                <w:sz w:val="16"/>
                <w:szCs w:val="16"/>
              </w:rPr>
              <w:t>Jurídicos y/o legales y/o documentales y/o regulatorios</w:t>
            </w:r>
          </w:p>
        </w:tc>
        <w:tc>
          <w:tcPr>
            <w:tcW w:w="1588"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Demora en la legalización, suspensiones, adiciones, modificaciones y/o prórrogas del contrato por parte del CONTRATISTA.</w:t>
            </w:r>
          </w:p>
        </w:tc>
        <w:tc>
          <w:tcPr>
            <w:tcW w:w="1916"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El CONTRATISTA no radica completa, correcta y oportunamente la documentación de legalización, según instructivo y lo manifestado en el contrato o suspensión imputable a éste.</w:t>
            </w:r>
          </w:p>
        </w:tc>
        <w:tc>
          <w:tcPr>
            <w:tcW w:w="393" w:type="dxa"/>
            <w:vAlign w:val="center"/>
          </w:tcPr>
          <w:p w:rsidR="00E65D75" w:rsidRDefault="00AE4D04">
            <w:pPr>
              <w:ind w:left="0" w:right="113" w:hanging="2"/>
              <w:jc w:val="center"/>
              <w:rPr>
                <w:rFonts w:ascii="Arial Narrow" w:eastAsia="Arial Narrow" w:hAnsi="Arial Narrow" w:cs="Arial Narrow"/>
                <w:sz w:val="16"/>
                <w:szCs w:val="16"/>
              </w:rPr>
            </w:pPr>
            <w:r>
              <w:rPr>
                <w:rFonts w:ascii="Arial Narrow" w:eastAsia="Arial Narrow" w:hAnsi="Arial Narrow" w:cs="Arial Narrow"/>
                <w:sz w:val="16"/>
                <w:szCs w:val="16"/>
              </w:rPr>
              <w:t>Contratista</w:t>
            </w:r>
          </w:p>
        </w:tc>
        <w:tc>
          <w:tcPr>
            <w:tcW w:w="1945"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La Entidad contratante debe indicarle al CONTRATISTA de forma clara y</w:t>
            </w:r>
            <w:r>
              <w:rPr>
                <w:rFonts w:ascii="Arial Narrow" w:eastAsia="Arial Narrow" w:hAnsi="Arial Narrow" w:cs="Arial Narrow"/>
                <w:sz w:val="16"/>
                <w:szCs w:val="16"/>
              </w:rPr>
              <w:t xml:space="preserve"> precisa la documentación requerida para la legalización del contrato, suspensiones, adiciones, modificaciones y/o prórrogas a que haya lugar.</w:t>
            </w:r>
          </w:p>
        </w:tc>
        <w:tc>
          <w:tcPr>
            <w:tcW w:w="60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NO</w:t>
            </w:r>
          </w:p>
        </w:tc>
        <w:tc>
          <w:tcPr>
            <w:tcW w:w="605" w:type="dxa"/>
            <w:vAlign w:val="center"/>
          </w:tcPr>
          <w:p w:rsidR="00E65D75" w:rsidRDefault="00AE4D04">
            <w:pPr>
              <w:ind w:left="0" w:right="113" w:hanging="2"/>
              <w:jc w:val="center"/>
              <w:rPr>
                <w:rFonts w:ascii="Arial Narrow" w:eastAsia="Arial Narrow" w:hAnsi="Arial Narrow" w:cs="Arial Narrow"/>
                <w:sz w:val="16"/>
                <w:szCs w:val="16"/>
              </w:rPr>
            </w:pPr>
            <w:r>
              <w:rPr>
                <w:rFonts w:ascii="Arial Narrow" w:eastAsia="Arial Narrow" w:hAnsi="Arial Narrow" w:cs="Arial Narrow"/>
                <w:sz w:val="16"/>
                <w:szCs w:val="16"/>
              </w:rPr>
              <w:t>Contratante/Contratista</w:t>
            </w:r>
          </w:p>
        </w:tc>
        <w:tc>
          <w:tcPr>
            <w:tcW w:w="1704"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Acompañamiento administrativo, jurídico y/o financiero a que haya lugar por parte de l</w:t>
            </w:r>
            <w:r>
              <w:rPr>
                <w:rFonts w:ascii="Arial Narrow" w:eastAsia="Arial Narrow" w:hAnsi="Arial Narrow" w:cs="Arial Narrow"/>
                <w:sz w:val="16"/>
                <w:szCs w:val="16"/>
              </w:rPr>
              <w:t>a Entidad Contratante al CONTRATISTA respecto de los documentos requeridos para cada caso.</w:t>
            </w:r>
          </w:p>
        </w:tc>
        <w:tc>
          <w:tcPr>
            <w:tcW w:w="72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Cuando haya lugar a ello.</w:t>
            </w:r>
          </w:p>
        </w:tc>
      </w:tr>
      <w:tr w:rsidR="00E65D75">
        <w:trPr>
          <w:cantSplit/>
          <w:trHeight w:val="1555"/>
          <w:jc w:val="center"/>
        </w:trPr>
        <w:tc>
          <w:tcPr>
            <w:tcW w:w="29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lastRenderedPageBreak/>
              <w:t>2</w:t>
            </w:r>
          </w:p>
        </w:tc>
        <w:tc>
          <w:tcPr>
            <w:tcW w:w="239" w:type="dxa"/>
            <w:vAlign w:val="center"/>
          </w:tcPr>
          <w:p w:rsidR="00E65D75" w:rsidRDefault="00AE4D04">
            <w:pPr>
              <w:ind w:left="0" w:right="113" w:hanging="2"/>
              <w:jc w:val="center"/>
              <w:rPr>
                <w:rFonts w:ascii="Arial Narrow" w:eastAsia="Arial Narrow" w:hAnsi="Arial Narrow" w:cs="Arial Narrow"/>
                <w:sz w:val="16"/>
                <w:szCs w:val="16"/>
              </w:rPr>
            </w:pPr>
            <w:r>
              <w:rPr>
                <w:rFonts w:ascii="Arial Narrow" w:eastAsia="Arial Narrow" w:hAnsi="Arial Narrow" w:cs="Arial Narrow"/>
                <w:b/>
                <w:sz w:val="16"/>
                <w:szCs w:val="16"/>
              </w:rPr>
              <w:t>Ejecución</w:t>
            </w:r>
          </w:p>
        </w:tc>
        <w:tc>
          <w:tcPr>
            <w:tcW w:w="477" w:type="dxa"/>
            <w:vAlign w:val="center"/>
          </w:tcPr>
          <w:p w:rsidR="00E65D75" w:rsidRDefault="00AE4D04">
            <w:pPr>
              <w:ind w:left="0" w:right="113" w:hanging="2"/>
              <w:jc w:val="center"/>
              <w:rPr>
                <w:rFonts w:ascii="Arial Narrow" w:eastAsia="Arial Narrow" w:hAnsi="Arial Narrow" w:cs="Arial Narrow"/>
                <w:sz w:val="16"/>
                <w:szCs w:val="16"/>
              </w:rPr>
            </w:pPr>
            <w:r>
              <w:rPr>
                <w:rFonts w:ascii="Arial Narrow" w:eastAsia="Arial Narrow" w:hAnsi="Arial Narrow" w:cs="Arial Narrow"/>
                <w:b/>
                <w:sz w:val="16"/>
                <w:szCs w:val="16"/>
              </w:rPr>
              <w:t>Jurídicos y/o legales y/o documentales y/o regulatorios</w:t>
            </w:r>
          </w:p>
        </w:tc>
        <w:tc>
          <w:tcPr>
            <w:tcW w:w="1588"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Cambios normativos y/o tributarios.</w:t>
            </w:r>
          </w:p>
        </w:tc>
        <w:tc>
          <w:tcPr>
            <w:tcW w:w="1916"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Las condiciones inicialmente estipuladas en el Contrato sufren una modificación sustancial, como una norma que modifique o exija la inclusión de un nuevo componente técnico o tributario que implique la destinación de mayores recursos,</w:t>
            </w:r>
          </w:p>
        </w:tc>
        <w:tc>
          <w:tcPr>
            <w:tcW w:w="393" w:type="dxa"/>
            <w:vAlign w:val="center"/>
          </w:tcPr>
          <w:p w:rsidR="00E65D75" w:rsidRDefault="00AE4D04">
            <w:pPr>
              <w:ind w:left="0" w:right="113" w:hanging="2"/>
              <w:jc w:val="center"/>
              <w:rPr>
                <w:rFonts w:ascii="Arial Narrow" w:eastAsia="Arial Narrow" w:hAnsi="Arial Narrow" w:cs="Arial Narrow"/>
                <w:sz w:val="16"/>
                <w:szCs w:val="16"/>
              </w:rPr>
            </w:pPr>
            <w:r>
              <w:rPr>
                <w:rFonts w:ascii="Arial Narrow" w:eastAsia="Arial Narrow" w:hAnsi="Arial Narrow" w:cs="Arial Narrow"/>
                <w:sz w:val="16"/>
                <w:szCs w:val="16"/>
              </w:rPr>
              <w:t>Contratante/Contratis</w:t>
            </w:r>
            <w:r>
              <w:rPr>
                <w:rFonts w:ascii="Arial Narrow" w:eastAsia="Arial Narrow" w:hAnsi="Arial Narrow" w:cs="Arial Narrow"/>
                <w:sz w:val="16"/>
                <w:szCs w:val="16"/>
              </w:rPr>
              <w:t>ta</w:t>
            </w:r>
          </w:p>
        </w:tc>
        <w:tc>
          <w:tcPr>
            <w:tcW w:w="1945"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Producción del contrato con las normas aplicables al momento de la suscripción. Revisar los cambios sustanciales que afecten el equilibrio económico del contrato con el fin de realizar los ajustes pertinentes tanto para el contratista como para la Entid</w:t>
            </w:r>
            <w:r>
              <w:rPr>
                <w:rFonts w:ascii="Arial Narrow" w:eastAsia="Arial Narrow" w:hAnsi="Arial Narrow" w:cs="Arial Narrow"/>
                <w:sz w:val="16"/>
                <w:szCs w:val="16"/>
              </w:rPr>
              <w:t>ad.</w:t>
            </w:r>
          </w:p>
        </w:tc>
        <w:tc>
          <w:tcPr>
            <w:tcW w:w="60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NO</w:t>
            </w:r>
          </w:p>
        </w:tc>
        <w:tc>
          <w:tcPr>
            <w:tcW w:w="605" w:type="dxa"/>
            <w:vAlign w:val="center"/>
          </w:tcPr>
          <w:p w:rsidR="00E65D75" w:rsidRDefault="00AE4D04">
            <w:pPr>
              <w:ind w:left="0" w:right="113" w:hanging="2"/>
              <w:jc w:val="center"/>
              <w:rPr>
                <w:rFonts w:ascii="Arial Narrow" w:eastAsia="Arial Narrow" w:hAnsi="Arial Narrow" w:cs="Arial Narrow"/>
                <w:sz w:val="16"/>
                <w:szCs w:val="16"/>
              </w:rPr>
            </w:pPr>
            <w:r>
              <w:rPr>
                <w:rFonts w:ascii="Arial Narrow" w:eastAsia="Arial Narrow" w:hAnsi="Arial Narrow" w:cs="Arial Narrow"/>
                <w:sz w:val="16"/>
                <w:szCs w:val="16"/>
              </w:rPr>
              <w:t>Contratante</w:t>
            </w:r>
          </w:p>
        </w:tc>
        <w:tc>
          <w:tcPr>
            <w:tcW w:w="1704"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Actualización permanente de las normas contractuales, tributarias, y demás aplicables al contrato.</w:t>
            </w:r>
          </w:p>
        </w:tc>
        <w:tc>
          <w:tcPr>
            <w:tcW w:w="72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Mensual</w:t>
            </w:r>
          </w:p>
        </w:tc>
      </w:tr>
      <w:tr w:rsidR="00E65D75">
        <w:trPr>
          <w:trHeight w:val="50"/>
          <w:jc w:val="center"/>
        </w:trPr>
        <w:tc>
          <w:tcPr>
            <w:tcW w:w="29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3</w:t>
            </w:r>
          </w:p>
        </w:tc>
        <w:tc>
          <w:tcPr>
            <w:tcW w:w="23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Ejecución</w:t>
            </w:r>
          </w:p>
        </w:tc>
        <w:tc>
          <w:tcPr>
            <w:tcW w:w="477"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Operacional</w:t>
            </w:r>
          </w:p>
        </w:tc>
        <w:tc>
          <w:tcPr>
            <w:tcW w:w="1588"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Demora en la radicación oportuna por parte del CONTRATISTA de las facturas (correctamente diligenciadas y firmadas) y/o cuentas de los gastos.</w:t>
            </w:r>
          </w:p>
        </w:tc>
        <w:tc>
          <w:tcPr>
            <w:tcW w:w="1916"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Retraso en la entrega de los documentos soporte para realizar el pago de honorarios.</w:t>
            </w:r>
          </w:p>
        </w:tc>
        <w:tc>
          <w:tcPr>
            <w:tcW w:w="393"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Contratista</w:t>
            </w:r>
          </w:p>
        </w:tc>
        <w:tc>
          <w:tcPr>
            <w:tcW w:w="1945"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Realizar oportun</w:t>
            </w:r>
            <w:r>
              <w:rPr>
                <w:rFonts w:ascii="Arial Narrow" w:eastAsia="Arial Narrow" w:hAnsi="Arial Narrow" w:cs="Arial Narrow"/>
                <w:sz w:val="16"/>
                <w:szCs w:val="16"/>
              </w:rPr>
              <w:t>amente la radicación de las facturas y/o cuentas de cobro con los debidos soportes.</w:t>
            </w:r>
          </w:p>
        </w:tc>
        <w:tc>
          <w:tcPr>
            <w:tcW w:w="60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NO</w:t>
            </w:r>
          </w:p>
        </w:tc>
        <w:tc>
          <w:tcPr>
            <w:tcW w:w="605"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Contratista</w:t>
            </w:r>
          </w:p>
        </w:tc>
        <w:tc>
          <w:tcPr>
            <w:tcW w:w="1704"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El supervisor del contrato deberá llevar a cabo una revisión previa de la documentación necesaria para el pago.</w:t>
            </w:r>
          </w:p>
        </w:tc>
        <w:tc>
          <w:tcPr>
            <w:tcW w:w="72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Mensual</w:t>
            </w:r>
          </w:p>
        </w:tc>
      </w:tr>
      <w:tr w:rsidR="00E65D75">
        <w:trPr>
          <w:trHeight w:val="1133"/>
          <w:jc w:val="center"/>
        </w:trPr>
        <w:tc>
          <w:tcPr>
            <w:tcW w:w="29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4</w:t>
            </w:r>
          </w:p>
        </w:tc>
        <w:tc>
          <w:tcPr>
            <w:tcW w:w="23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Ejecución</w:t>
            </w:r>
          </w:p>
        </w:tc>
        <w:tc>
          <w:tcPr>
            <w:tcW w:w="477"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Operacional</w:t>
            </w:r>
          </w:p>
        </w:tc>
        <w:tc>
          <w:tcPr>
            <w:tcW w:w="1588"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Incumplimiento del contrato por parte del CONTRATISTA.</w:t>
            </w:r>
          </w:p>
        </w:tc>
        <w:tc>
          <w:tcPr>
            <w:tcW w:w="1916"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Que el CONTRATISTA incumpla con las cláusulas estipuladas en el contrato, antes, durante y posterior a la orden de iniciación del mismo.</w:t>
            </w:r>
          </w:p>
        </w:tc>
        <w:tc>
          <w:tcPr>
            <w:tcW w:w="393"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Contratista</w:t>
            </w:r>
          </w:p>
        </w:tc>
        <w:tc>
          <w:tcPr>
            <w:tcW w:w="1945"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Vigilancia permanente a la correcta ejecución del co</w:t>
            </w:r>
            <w:r>
              <w:rPr>
                <w:rFonts w:ascii="Arial Narrow" w:eastAsia="Arial Narrow" w:hAnsi="Arial Narrow" w:cs="Arial Narrow"/>
                <w:sz w:val="16"/>
                <w:szCs w:val="16"/>
              </w:rPr>
              <w:t>ntrato, en especial al cumplimiento de las obligaciones y actividades que se derivan de este por parte del supervisor.</w:t>
            </w:r>
          </w:p>
        </w:tc>
        <w:tc>
          <w:tcPr>
            <w:tcW w:w="60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NO</w:t>
            </w:r>
          </w:p>
        </w:tc>
        <w:tc>
          <w:tcPr>
            <w:tcW w:w="605"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Contratista</w:t>
            </w:r>
          </w:p>
        </w:tc>
        <w:tc>
          <w:tcPr>
            <w:tcW w:w="1704"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Ejecutar a cabalidad el objeto del contrato y cumplir con las obligaciones adquiridas.</w:t>
            </w:r>
          </w:p>
        </w:tc>
        <w:tc>
          <w:tcPr>
            <w:tcW w:w="729" w:type="dxa"/>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Mensual</w:t>
            </w:r>
          </w:p>
        </w:tc>
      </w:tr>
      <w:tr w:rsidR="00E65D75">
        <w:trPr>
          <w:trHeight w:val="1133"/>
          <w:jc w:val="center"/>
        </w:trPr>
        <w:tc>
          <w:tcPr>
            <w:tcW w:w="299"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5</w:t>
            </w:r>
          </w:p>
        </w:tc>
        <w:tc>
          <w:tcPr>
            <w:tcW w:w="239"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Ejecución</w:t>
            </w:r>
          </w:p>
        </w:tc>
        <w:tc>
          <w:tcPr>
            <w:tcW w:w="477"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Laboral</w:t>
            </w:r>
          </w:p>
        </w:tc>
        <w:tc>
          <w:tcPr>
            <w:tcW w:w="1588"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 xml:space="preserve">Probabilidad de contagio COVID-19 por exposición permanente </w:t>
            </w:r>
          </w:p>
        </w:tc>
        <w:tc>
          <w:tcPr>
            <w:tcW w:w="1916"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Pérdida de la vida, deterioro de la salud y la integridad del personal que labora en el proyecto</w:t>
            </w:r>
          </w:p>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Retraso en la ejecución del proyecto</w:t>
            </w:r>
          </w:p>
        </w:tc>
        <w:tc>
          <w:tcPr>
            <w:tcW w:w="393"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Establecer protocolos efectivos que cumplan las i</w:t>
            </w:r>
            <w:r>
              <w:rPr>
                <w:rFonts w:ascii="Arial Narrow" w:eastAsia="Arial Narrow" w:hAnsi="Arial Narrow" w:cs="Arial Narrow"/>
                <w:sz w:val="16"/>
                <w:szCs w:val="16"/>
              </w:rPr>
              <w:t>nstrucciones dadas en la Circular Conjunta No. 001 del 11 de abril de 2020, orientaciones sobre medidas preventivas y de mitigación para reducir la exposición y contagio por infección respiratoria aguda causada por el sars-cov-2 (covid-19)</w:t>
            </w:r>
          </w:p>
        </w:tc>
        <w:tc>
          <w:tcPr>
            <w:tcW w:w="609"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SI</w:t>
            </w:r>
          </w:p>
        </w:tc>
        <w:tc>
          <w:tcPr>
            <w:tcW w:w="605"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Contratista</w:t>
            </w:r>
          </w:p>
        </w:tc>
        <w:tc>
          <w:tcPr>
            <w:tcW w:w="1704"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Garantizar la aplicación de los protocolos según lo establecido en la Circular Conjunta N° 001 del 11 de abril de 2020 en todos los bienes y/o servicios ofrecidos</w:t>
            </w:r>
          </w:p>
        </w:tc>
        <w:tc>
          <w:tcPr>
            <w:tcW w:w="729"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Diario</w:t>
            </w:r>
          </w:p>
        </w:tc>
      </w:tr>
      <w:tr w:rsidR="00E65D75">
        <w:trPr>
          <w:trHeight w:val="1133"/>
          <w:jc w:val="center"/>
        </w:trPr>
        <w:tc>
          <w:tcPr>
            <w:tcW w:w="299"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6</w:t>
            </w:r>
          </w:p>
        </w:tc>
        <w:tc>
          <w:tcPr>
            <w:tcW w:w="239"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Ejecución</w:t>
            </w:r>
          </w:p>
        </w:tc>
        <w:tc>
          <w:tcPr>
            <w:tcW w:w="477"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b/>
                <w:sz w:val="16"/>
                <w:szCs w:val="16"/>
              </w:rPr>
              <w:t>Económico</w:t>
            </w:r>
          </w:p>
        </w:tc>
        <w:tc>
          <w:tcPr>
            <w:tcW w:w="1588"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Atraso en el cumplimiento en la forma de pago pactada</w:t>
            </w:r>
          </w:p>
        </w:tc>
        <w:tc>
          <w:tcPr>
            <w:tcW w:w="1916" w:type="dxa"/>
            <w:tcBorders>
              <w:top w:val="single" w:sz="4" w:space="0" w:color="000000"/>
              <w:left w:val="single" w:sz="4" w:space="0" w:color="000000"/>
              <w:bottom w:val="single" w:sz="4" w:space="0" w:color="000000"/>
              <w:right w:val="single" w:sz="4" w:space="0" w:color="000000"/>
            </w:tcBorders>
            <w:vAlign w:val="center"/>
          </w:tcPr>
          <w:p w:rsidR="00E65D75" w:rsidRDefault="00AE4D04">
            <w:pPr>
              <w:spacing w:line="276" w:lineRule="auto"/>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Incumplimiento en la entrega de los requisitos exigidos para el pago.</w:t>
            </w:r>
          </w:p>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Falta de control, verificación y trámite de los documentos propios para realizar los desembolsos</w:t>
            </w:r>
          </w:p>
        </w:tc>
        <w:tc>
          <w:tcPr>
            <w:tcW w:w="393"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Contratante/Contratista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Oportunidad en la verificación y control de los documentos requer</w:t>
            </w:r>
            <w:r>
              <w:rPr>
                <w:rFonts w:ascii="Arial Narrow" w:eastAsia="Arial Narrow" w:hAnsi="Arial Narrow" w:cs="Arial Narrow"/>
                <w:sz w:val="16"/>
                <w:szCs w:val="16"/>
              </w:rPr>
              <w:t>idos para el pago.</w:t>
            </w:r>
          </w:p>
        </w:tc>
        <w:tc>
          <w:tcPr>
            <w:tcW w:w="609"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NO</w:t>
            </w:r>
          </w:p>
        </w:tc>
        <w:tc>
          <w:tcPr>
            <w:tcW w:w="605"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Contratante/Contratista</w:t>
            </w:r>
          </w:p>
        </w:tc>
        <w:tc>
          <w:tcPr>
            <w:tcW w:w="1704"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Verificación y control de los documentos requeridos para el pago.</w:t>
            </w:r>
          </w:p>
        </w:tc>
        <w:tc>
          <w:tcPr>
            <w:tcW w:w="729" w:type="dxa"/>
            <w:tcBorders>
              <w:top w:val="single" w:sz="4" w:space="0" w:color="000000"/>
              <w:left w:val="single" w:sz="4" w:space="0" w:color="000000"/>
              <w:bottom w:val="single" w:sz="4" w:space="0" w:color="000000"/>
              <w:right w:val="single" w:sz="4" w:space="0" w:color="000000"/>
            </w:tcBorders>
            <w:vAlign w:val="center"/>
          </w:tcPr>
          <w:p w:rsidR="00E65D75" w:rsidRDefault="00AE4D04">
            <w:pPr>
              <w:ind w:left="0" w:hanging="2"/>
              <w:jc w:val="center"/>
              <w:rPr>
                <w:rFonts w:ascii="Arial Narrow" w:eastAsia="Arial Narrow" w:hAnsi="Arial Narrow" w:cs="Arial Narrow"/>
                <w:sz w:val="16"/>
                <w:szCs w:val="16"/>
              </w:rPr>
            </w:pPr>
            <w:r>
              <w:rPr>
                <w:rFonts w:ascii="Arial Narrow" w:eastAsia="Arial Narrow" w:hAnsi="Arial Narrow" w:cs="Arial Narrow"/>
                <w:sz w:val="16"/>
                <w:szCs w:val="16"/>
              </w:rPr>
              <w:t>Mensual</w:t>
            </w:r>
          </w:p>
        </w:tc>
      </w:tr>
    </w:tbl>
    <w:p w:rsidR="00E65D75" w:rsidRDefault="00E65D75">
      <w:pPr>
        <w:ind w:left="0" w:hanging="2"/>
        <w:jc w:val="both"/>
        <w:rPr>
          <w:rFonts w:ascii="Arial" w:eastAsia="Arial" w:hAnsi="Arial" w:cs="Arial"/>
          <w:sz w:val="20"/>
          <w:szCs w:val="20"/>
        </w:rPr>
      </w:pPr>
    </w:p>
    <w:p w:rsidR="00E65D75" w:rsidRDefault="00AE4D04">
      <w:pPr>
        <w:numPr>
          <w:ilvl w:val="0"/>
          <w:numId w:val="7"/>
        </w:numPr>
        <w:ind w:left="0" w:hanging="2"/>
        <w:jc w:val="both"/>
        <w:rPr>
          <w:rFonts w:ascii="Arial" w:eastAsia="Arial" w:hAnsi="Arial" w:cs="Arial"/>
          <w:sz w:val="20"/>
          <w:szCs w:val="20"/>
        </w:rPr>
      </w:pPr>
      <w:r>
        <w:rPr>
          <w:rFonts w:ascii="Arial" w:eastAsia="Arial" w:hAnsi="Arial" w:cs="Arial"/>
          <w:b/>
          <w:sz w:val="20"/>
          <w:szCs w:val="20"/>
        </w:rPr>
        <w:t>LA INDICACIÓN DE SI EL PROCESO DE CONTRATACIÓN ESTÁ COBIJADA POR UN ACUERDO COMERCIAL N/A</w:t>
      </w:r>
    </w:p>
    <w:p w:rsidR="00E65D75" w:rsidRDefault="00E65D75">
      <w:pPr>
        <w:ind w:left="0" w:hanging="2"/>
        <w:jc w:val="both"/>
        <w:rPr>
          <w:rFonts w:ascii="Arial" w:eastAsia="Arial" w:hAnsi="Arial" w:cs="Arial"/>
          <w:sz w:val="20"/>
          <w:szCs w:val="20"/>
        </w:rPr>
      </w:pPr>
    </w:p>
    <w:p w:rsidR="00E65D75" w:rsidRDefault="00E65D75">
      <w:pPr>
        <w:ind w:left="0" w:hanging="2"/>
        <w:rPr>
          <w:rFonts w:ascii="Arial" w:eastAsia="Arial" w:hAnsi="Arial" w:cs="Arial"/>
          <w:sz w:val="20"/>
          <w:szCs w:val="20"/>
        </w:rPr>
      </w:pPr>
    </w:p>
    <w:p w:rsidR="00E65D75" w:rsidRDefault="00E65D75">
      <w:pPr>
        <w:ind w:left="0" w:hanging="2"/>
        <w:rPr>
          <w:rFonts w:ascii="Arial" w:eastAsia="Arial" w:hAnsi="Arial" w:cs="Arial"/>
          <w:sz w:val="20"/>
          <w:szCs w:val="20"/>
        </w:rPr>
      </w:pPr>
    </w:p>
    <w:p w:rsidR="00E65D75" w:rsidRDefault="00AE4D04">
      <w:pPr>
        <w:numPr>
          <w:ilvl w:val="0"/>
          <w:numId w:val="7"/>
        </w:numPr>
        <w:ind w:left="0" w:hanging="2"/>
        <w:jc w:val="both"/>
        <w:rPr>
          <w:rFonts w:ascii="Arial" w:eastAsia="Arial" w:hAnsi="Arial" w:cs="Arial"/>
          <w:sz w:val="20"/>
          <w:szCs w:val="20"/>
        </w:rPr>
      </w:pPr>
      <w:r>
        <w:rPr>
          <w:rFonts w:ascii="Arial" w:eastAsia="Arial" w:hAnsi="Arial" w:cs="Arial"/>
          <w:b/>
          <w:sz w:val="20"/>
          <w:szCs w:val="20"/>
        </w:rPr>
        <w:t>ANEXOS:</w:t>
      </w:r>
    </w:p>
    <w:p w:rsidR="00E65D75" w:rsidRDefault="00E65D75">
      <w:pPr>
        <w:spacing w:line="259" w:lineRule="auto"/>
        <w:ind w:left="0" w:hanging="2"/>
        <w:jc w:val="both"/>
        <w:rPr>
          <w:rFonts w:ascii="Arial" w:eastAsia="Arial" w:hAnsi="Arial" w:cs="Arial"/>
          <w:sz w:val="20"/>
          <w:szCs w:val="20"/>
        </w:rPr>
      </w:pPr>
    </w:p>
    <w:p w:rsidR="00E65D75" w:rsidRDefault="00AE4D04">
      <w:pPr>
        <w:spacing w:line="259" w:lineRule="auto"/>
        <w:ind w:left="0" w:hanging="2"/>
        <w:jc w:val="both"/>
        <w:rPr>
          <w:rFonts w:ascii="Arial" w:eastAsia="Arial" w:hAnsi="Arial" w:cs="Arial"/>
          <w:sz w:val="20"/>
          <w:szCs w:val="20"/>
        </w:rPr>
      </w:pPr>
      <w:r>
        <w:rPr>
          <w:rFonts w:ascii="Arial" w:eastAsia="Arial" w:hAnsi="Arial" w:cs="Arial"/>
          <w:sz w:val="20"/>
          <w:szCs w:val="20"/>
        </w:rPr>
        <w:t>Los referidos en el FLG59</w:t>
      </w: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     ________________________________          ____________________________________ </w:t>
      </w:r>
    </w:p>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       CESAR IVAN NAVARRO CRIADO                  RODRIGO ORLANDO OSORIO MONTOYA</w:t>
      </w:r>
    </w:p>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       Director de Programas y Proyectos </w:t>
      </w:r>
      <w:r>
        <w:rPr>
          <w:rFonts w:ascii="Arial" w:eastAsia="Arial" w:hAnsi="Arial" w:cs="Arial"/>
          <w:sz w:val="20"/>
          <w:szCs w:val="20"/>
        </w:rPr>
        <w:tab/>
      </w:r>
      <w:r>
        <w:rPr>
          <w:rFonts w:ascii="Arial" w:eastAsia="Arial" w:hAnsi="Arial" w:cs="Arial"/>
          <w:sz w:val="20"/>
          <w:szCs w:val="20"/>
        </w:rPr>
        <w:tab/>
        <w:t xml:space="preserve"> Vicerrector de Extensión</w:t>
      </w:r>
    </w:p>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z w:val="20"/>
          <w:szCs w:val="20"/>
        </w:rPr>
        <w:t xml:space="preserve"> Especiales</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Ordenador del Gasto</w:t>
      </w:r>
    </w:p>
    <w:p w:rsidR="00E65D75" w:rsidRDefault="00E65D75">
      <w:pPr>
        <w:ind w:left="0" w:hanging="2"/>
        <w:rPr>
          <w:rFonts w:ascii="Arial" w:eastAsia="Arial" w:hAnsi="Arial" w:cs="Arial"/>
          <w:sz w:val="20"/>
          <w:szCs w:val="20"/>
        </w:rPr>
      </w:pPr>
    </w:p>
    <w:p w:rsidR="00E65D75" w:rsidRDefault="00E65D75">
      <w:pPr>
        <w:ind w:left="0" w:hanging="2"/>
        <w:rPr>
          <w:rFonts w:ascii="Arial" w:eastAsia="Arial" w:hAnsi="Arial" w:cs="Arial"/>
          <w:sz w:val="20"/>
          <w:szCs w:val="20"/>
        </w:rPr>
      </w:pPr>
    </w:p>
    <w:tbl>
      <w:tblPr>
        <w:tblStyle w:val="a3"/>
        <w:tblW w:w="920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2693"/>
        <w:gridCol w:w="2410"/>
        <w:gridCol w:w="2126"/>
      </w:tblGrid>
      <w:tr w:rsidR="00E65D75">
        <w:tc>
          <w:tcPr>
            <w:tcW w:w="0" w:type="auto"/>
          </w:tcPr>
          <w:p w:rsidR="00E65D75" w:rsidRDefault="00E65D75">
            <w:pPr>
              <w:ind w:left="0" w:hanging="2"/>
              <w:rPr>
                <w:rFonts w:ascii="Arial" w:eastAsia="Arial" w:hAnsi="Arial" w:cs="Arial"/>
                <w:sz w:val="16"/>
                <w:szCs w:val="16"/>
              </w:rPr>
            </w:pPr>
          </w:p>
        </w:tc>
        <w:tc>
          <w:tcPr>
            <w:tcW w:w="0" w:type="auto"/>
          </w:tcPr>
          <w:p w:rsidR="00E65D75" w:rsidRDefault="00AE4D04">
            <w:pPr>
              <w:ind w:left="0" w:hanging="2"/>
              <w:rPr>
                <w:rFonts w:ascii="Arial" w:eastAsia="Arial" w:hAnsi="Arial" w:cs="Arial"/>
                <w:sz w:val="16"/>
                <w:szCs w:val="16"/>
              </w:rPr>
            </w:pPr>
            <w:r>
              <w:rPr>
                <w:rFonts w:ascii="Arial" w:eastAsia="Arial" w:hAnsi="Arial" w:cs="Arial"/>
                <w:sz w:val="16"/>
                <w:szCs w:val="16"/>
              </w:rPr>
              <w:t>NOMBRE</w:t>
            </w:r>
          </w:p>
        </w:tc>
        <w:tc>
          <w:tcPr>
            <w:tcW w:w="0" w:type="auto"/>
          </w:tcPr>
          <w:p w:rsidR="00E65D75" w:rsidRDefault="00AE4D04">
            <w:pPr>
              <w:ind w:left="0" w:hanging="2"/>
              <w:rPr>
                <w:rFonts w:ascii="Arial" w:eastAsia="Arial" w:hAnsi="Arial" w:cs="Arial"/>
                <w:sz w:val="16"/>
                <w:szCs w:val="16"/>
              </w:rPr>
            </w:pPr>
            <w:r>
              <w:rPr>
                <w:rFonts w:ascii="Arial" w:eastAsia="Arial" w:hAnsi="Arial" w:cs="Arial"/>
                <w:sz w:val="16"/>
                <w:szCs w:val="16"/>
              </w:rPr>
              <w:t>FIRMA</w:t>
            </w:r>
          </w:p>
        </w:tc>
        <w:tc>
          <w:tcPr>
            <w:tcW w:w="0" w:type="auto"/>
          </w:tcPr>
          <w:p w:rsidR="00E65D75" w:rsidRDefault="00AE4D04">
            <w:pPr>
              <w:ind w:left="0" w:hanging="2"/>
              <w:rPr>
                <w:rFonts w:ascii="Arial" w:eastAsia="Arial" w:hAnsi="Arial" w:cs="Arial"/>
                <w:sz w:val="16"/>
                <w:szCs w:val="16"/>
              </w:rPr>
            </w:pPr>
            <w:r>
              <w:rPr>
                <w:rFonts w:ascii="Arial" w:eastAsia="Arial" w:hAnsi="Arial" w:cs="Arial"/>
                <w:sz w:val="16"/>
                <w:szCs w:val="16"/>
              </w:rPr>
              <w:t>FECHA</w:t>
            </w:r>
          </w:p>
        </w:tc>
      </w:tr>
      <w:tr w:rsidR="00E65D75">
        <w:trPr>
          <w:trHeight w:val="477"/>
        </w:trPr>
        <w:tc>
          <w:tcPr>
            <w:tcW w:w="0" w:type="auto"/>
          </w:tcPr>
          <w:p w:rsidR="00E65D75" w:rsidRDefault="00AE4D04">
            <w:pPr>
              <w:ind w:left="0" w:hanging="2"/>
              <w:rPr>
                <w:rFonts w:ascii="Arial" w:eastAsia="Arial" w:hAnsi="Arial" w:cs="Arial"/>
                <w:sz w:val="16"/>
                <w:szCs w:val="16"/>
              </w:rPr>
            </w:pPr>
            <w:r>
              <w:rPr>
                <w:rFonts w:ascii="Arial" w:eastAsia="Arial" w:hAnsi="Arial" w:cs="Arial"/>
                <w:sz w:val="16"/>
                <w:szCs w:val="16"/>
              </w:rPr>
              <w:t>Proyectó</w:t>
            </w:r>
          </w:p>
        </w:tc>
        <w:tc>
          <w:tcPr>
            <w:tcW w:w="0" w:type="auto"/>
          </w:tcPr>
          <w:p w:rsidR="00E65D75" w:rsidRDefault="00AE4D04">
            <w:pPr>
              <w:ind w:left="0" w:hanging="2"/>
              <w:rPr>
                <w:rFonts w:ascii="Arial" w:eastAsia="Arial" w:hAnsi="Arial" w:cs="Arial"/>
                <w:sz w:val="16"/>
                <w:szCs w:val="16"/>
              </w:rPr>
            </w:pPr>
            <w:r>
              <w:rPr>
                <w:rFonts w:ascii="Arial" w:eastAsia="Arial" w:hAnsi="Arial" w:cs="Arial"/>
                <w:sz w:val="16"/>
                <w:szCs w:val="16"/>
              </w:rPr>
              <w:t>Miriam Gómez Marín</w:t>
            </w:r>
          </w:p>
        </w:tc>
        <w:tc>
          <w:tcPr>
            <w:tcW w:w="0" w:type="auto"/>
          </w:tcPr>
          <w:p w:rsidR="00E65D75" w:rsidRDefault="00E65D75">
            <w:pPr>
              <w:ind w:left="0" w:hanging="2"/>
              <w:rPr>
                <w:rFonts w:ascii="Arial" w:eastAsia="Arial" w:hAnsi="Arial" w:cs="Arial"/>
                <w:sz w:val="16"/>
                <w:szCs w:val="16"/>
              </w:rPr>
            </w:pPr>
          </w:p>
        </w:tc>
        <w:tc>
          <w:tcPr>
            <w:tcW w:w="0" w:type="auto"/>
          </w:tcPr>
          <w:p w:rsidR="00E65D75" w:rsidRDefault="00E65D75">
            <w:pPr>
              <w:ind w:left="0" w:hanging="2"/>
              <w:rPr>
                <w:rFonts w:ascii="Arial" w:eastAsia="Arial" w:hAnsi="Arial" w:cs="Arial"/>
                <w:sz w:val="16"/>
                <w:szCs w:val="16"/>
              </w:rPr>
            </w:pPr>
          </w:p>
        </w:tc>
      </w:tr>
      <w:tr w:rsidR="00E65D75">
        <w:trPr>
          <w:trHeight w:val="428"/>
        </w:trPr>
        <w:tc>
          <w:tcPr>
            <w:tcW w:w="0" w:type="auto"/>
          </w:tcPr>
          <w:p w:rsidR="00E65D75" w:rsidRDefault="00AE4D04">
            <w:pPr>
              <w:ind w:left="0" w:hanging="2"/>
              <w:rPr>
                <w:rFonts w:ascii="Arial" w:eastAsia="Arial" w:hAnsi="Arial" w:cs="Arial"/>
                <w:sz w:val="16"/>
                <w:szCs w:val="16"/>
              </w:rPr>
            </w:pPr>
            <w:r>
              <w:rPr>
                <w:rFonts w:ascii="Arial" w:eastAsia="Arial" w:hAnsi="Arial" w:cs="Arial"/>
                <w:sz w:val="16"/>
                <w:szCs w:val="16"/>
              </w:rPr>
              <w:t>Revisó</w:t>
            </w:r>
          </w:p>
        </w:tc>
        <w:tc>
          <w:tcPr>
            <w:tcW w:w="0" w:type="auto"/>
          </w:tcPr>
          <w:p w:rsidR="00E65D75" w:rsidRDefault="00E65D75">
            <w:pPr>
              <w:ind w:left="0" w:hanging="2"/>
              <w:rPr>
                <w:rFonts w:ascii="Arial" w:eastAsia="Arial" w:hAnsi="Arial" w:cs="Arial"/>
                <w:sz w:val="16"/>
                <w:szCs w:val="16"/>
              </w:rPr>
            </w:pPr>
          </w:p>
        </w:tc>
        <w:tc>
          <w:tcPr>
            <w:tcW w:w="0" w:type="auto"/>
          </w:tcPr>
          <w:p w:rsidR="00E65D75" w:rsidRDefault="00E65D75">
            <w:pPr>
              <w:ind w:left="0" w:hanging="2"/>
              <w:rPr>
                <w:rFonts w:ascii="Arial" w:eastAsia="Arial" w:hAnsi="Arial" w:cs="Arial"/>
                <w:sz w:val="16"/>
                <w:szCs w:val="16"/>
              </w:rPr>
            </w:pPr>
          </w:p>
        </w:tc>
        <w:tc>
          <w:tcPr>
            <w:tcW w:w="0" w:type="auto"/>
          </w:tcPr>
          <w:p w:rsidR="00E65D75" w:rsidRDefault="00E65D75">
            <w:pPr>
              <w:ind w:left="0" w:hanging="2"/>
              <w:rPr>
                <w:rFonts w:ascii="Arial" w:eastAsia="Arial" w:hAnsi="Arial" w:cs="Arial"/>
                <w:sz w:val="16"/>
                <w:szCs w:val="16"/>
              </w:rPr>
            </w:pPr>
          </w:p>
        </w:tc>
      </w:tr>
      <w:tr w:rsidR="00E65D75">
        <w:tc>
          <w:tcPr>
            <w:tcW w:w="0" w:type="auto"/>
          </w:tcPr>
          <w:p w:rsidR="00E65D75" w:rsidRDefault="00E65D75">
            <w:pPr>
              <w:ind w:left="0" w:hanging="2"/>
              <w:rPr>
                <w:rFonts w:ascii="Arial" w:eastAsia="Arial" w:hAnsi="Arial" w:cs="Arial"/>
              </w:rPr>
            </w:pPr>
          </w:p>
        </w:tc>
        <w:tc>
          <w:tcPr>
            <w:tcW w:w="0" w:type="auto"/>
            <w:gridSpan w:val="3"/>
          </w:tcPr>
          <w:p w:rsidR="00E65D75" w:rsidRDefault="00AE4D04">
            <w:pPr>
              <w:rPr>
                <w:rFonts w:ascii="Arial" w:eastAsia="Arial" w:hAnsi="Arial" w:cs="Arial"/>
                <w:sz w:val="12"/>
                <w:szCs w:val="12"/>
              </w:rPr>
            </w:pPr>
            <w:r>
              <w:rPr>
                <w:rFonts w:ascii="Arial" w:eastAsia="Arial" w:hAnsi="Arial" w:cs="Arial"/>
                <w:sz w:val="12"/>
                <w:szCs w:val="12"/>
              </w:rPr>
              <w:t xml:space="preserve">Los arriba firmantes declaramos que hemos revisado el documento y lo encontramos ajustado a las normas y disposiciones legales vigentes y por lo tanto, bajo nuestra responsabilidad lo presentamos para la firma </w:t>
            </w:r>
          </w:p>
        </w:tc>
      </w:tr>
    </w:tbl>
    <w:p w:rsidR="00E65D75" w:rsidRDefault="00E65D75">
      <w:pPr>
        <w:ind w:left="0" w:hanging="2"/>
        <w:rPr>
          <w:rFonts w:ascii="Arial" w:eastAsia="Arial" w:hAnsi="Arial" w:cs="Arial"/>
          <w:sz w:val="20"/>
          <w:szCs w:val="20"/>
        </w:rPr>
      </w:pPr>
    </w:p>
    <w:p w:rsidR="00E65D75" w:rsidRDefault="00AE4D04">
      <w:pPr>
        <w:numPr>
          <w:ilvl w:val="0"/>
          <w:numId w:val="7"/>
        </w:numPr>
        <w:ind w:left="0" w:hanging="2"/>
        <w:jc w:val="both"/>
        <w:rPr>
          <w:rFonts w:ascii="Arial" w:eastAsia="Arial" w:hAnsi="Arial" w:cs="Arial"/>
          <w:sz w:val="20"/>
          <w:szCs w:val="20"/>
        </w:rPr>
      </w:pPr>
      <w:r>
        <w:rPr>
          <w:rFonts w:ascii="Arial" w:eastAsia="Arial" w:hAnsi="Arial" w:cs="Arial"/>
          <w:sz w:val="20"/>
          <w:szCs w:val="20"/>
        </w:rPr>
        <w:t>Visto bueno del profesional de acuerdo a ta</w:t>
      </w:r>
      <w:r>
        <w:rPr>
          <w:rFonts w:ascii="Arial" w:eastAsia="Arial" w:hAnsi="Arial" w:cs="Arial"/>
          <w:sz w:val="20"/>
          <w:szCs w:val="20"/>
        </w:rPr>
        <w:t>bla 1 (en caso de requerirse): Indicar nombre, identificación, cargo, dependencia: ________________________________________________</w:t>
      </w:r>
    </w:p>
    <w:p w:rsidR="00E65D75" w:rsidRDefault="00E65D75">
      <w:pPr>
        <w:ind w:left="0" w:hanging="2"/>
        <w:jc w:val="both"/>
        <w:rPr>
          <w:rFonts w:ascii="Arial" w:eastAsia="Arial" w:hAnsi="Arial" w:cs="Arial"/>
          <w:sz w:val="20"/>
          <w:szCs w:val="20"/>
        </w:rPr>
      </w:pPr>
    </w:p>
    <w:tbl>
      <w:tblPr>
        <w:tblStyle w:val="a4"/>
        <w:tblW w:w="89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E65D75">
        <w:tc>
          <w:tcPr>
            <w:tcW w:w="0" w:type="auto"/>
            <w:gridSpan w:val="2"/>
          </w:tcPr>
          <w:p w:rsidR="00E65D75" w:rsidRDefault="00AE4D04">
            <w:pPr>
              <w:ind w:left="0" w:hanging="2"/>
              <w:jc w:val="center"/>
              <w:rPr>
                <w:rFonts w:ascii="Arial" w:eastAsia="Arial" w:hAnsi="Arial" w:cs="Arial"/>
                <w:sz w:val="20"/>
                <w:szCs w:val="20"/>
              </w:rPr>
            </w:pPr>
            <w:r>
              <w:rPr>
                <w:rFonts w:ascii="Arial" w:eastAsia="Arial" w:hAnsi="Arial" w:cs="Arial"/>
                <w:b/>
                <w:sz w:val="20"/>
                <w:szCs w:val="20"/>
              </w:rPr>
              <w:t>PRIMER COMITÉ</w:t>
            </w:r>
          </w:p>
        </w:tc>
      </w:tr>
      <w:tr w:rsidR="00E65D75">
        <w:tc>
          <w:tcPr>
            <w:tcW w:w="0" w:type="auto"/>
          </w:tcPr>
          <w:p w:rsidR="00E65D75" w:rsidRDefault="00AE4D04">
            <w:pPr>
              <w:ind w:left="0" w:hanging="2"/>
              <w:jc w:val="both"/>
              <w:rPr>
                <w:rFonts w:ascii="Arial" w:eastAsia="Arial" w:hAnsi="Arial" w:cs="Arial"/>
                <w:sz w:val="20"/>
                <w:szCs w:val="20"/>
              </w:rPr>
            </w:pPr>
            <w:r>
              <w:rPr>
                <w:rFonts w:ascii="Arial" w:eastAsia="Arial" w:hAnsi="Arial" w:cs="Arial"/>
                <w:sz w:val="20"/>
                <w:szCs w:val="20"/>
              </w:rPr>
              <w:t>Especificar si es Comité Interno de Contratación de Rectoría o Vicerrectoría</w:t>
            </w:r>
          </w:p>
        </w:tc>
        <w:tc>
          <w:tcPr>
            <w:tcW w:w="0" w:type="auto"/>
          </w:tcPr>
          <w:p w:rsidR="00E65D75" w:rsidRDefault="00E65D75">
            <w:pPr>
              <w:ind w:left="0" w:hanging="2"/>
              <w:jc w:val="both"/>
              <w:rPr>
                <w:rFonts w:ascii="Arial" w:eastAsia="Arial" w:hAnsi="Arial" w:cs="Arial"/>
                <w:sz w:val="20"/>
                <w:szCs w:val="20"/>
              </w:rPr>
            </w:pPr>
          </w:p>
        </w:tc>
      </w:tr>
      <w:tr w:rsidR="00E65D75">
        <w:tc>
          <w:tcPr>
            <w:tcW w:w="0" w:type="auto"/>
          </w:tcPr>
          <w:p w:rsidR="00E65D75" w:rsidRDefault="00AE4D04">
            <w:pPr>
              <w:ind w:left="0" w:hanging="2"/>
              <w:jc w:val="both"/>
              <w:rPr>
                <w:rFonts w:ascii="Arial" w:eastAsia="Arial" w:hAnsi="Arial" w:cs="Arial"/>
                <w:sz w:val="20"/>
                <w:szCs w:val="20"/>
              </w:rPr>
            </w:pPr>
            <w:r>
              <w:rPr>
                <w:rFonts w:ascii="Arial" w:eastAsia="Arial" w:hAnsi="Arial" w:cs="Arial"/>
                <w:sz w:val="20"/>
                <w:szCs w:val="20"/>
              </w:rPr>
              <w:t>Número de acta y fecha de recomendación Comité Interno de Contratación</w:t>
            </w:r>
          </w:p>
        </w:tc>
        <w:tc>
          <w:tcPr>
            <w:tcW w:w="0" w:type="auto"/>
          </w:tcPr>
          <w:p w:rsidR="00E65D75" w:rsidRDefault="00E65D75">
            <w:pPr>
              <w:ind w:left="0" w:hanging="2"/>
              <w:jc w:val="both"/>
              <w:rPr>
                <w:rFonts w:ascii="Arial" w:eastAsia="Arial" w:hAnsi="Arial" w:cs="Arial"/>
                <w:sz w:val="20"/>
                <w:szCs w:val="20"/>
              </w:rPr>
            </w:pPr>
          </w:p>
        </w:tc>
      </w:tr>
      <w:tr w:rsidR="00E65D75">
        <w:tc>
          <w:tcPr>
            <w:tcW w:w="0" w:type="auto"/>
          </w:tcPr>
          <w:p w:rsidR="00E65D75" w:rsidRDefault="00AE4D04">
            <w:pPr>
              <w:ind w:left="0" w:hanging="2"/>
              <w:jc w:val="both"/>
              <w:rPr>
                <w:rFonts w:ascii="Arial" w:eastAsia="Arial" w:hAnsi="Arial" w:cs="Arial"/>
                <w:sz w:val="20"/>
                <w:szCs w:val="20"/>
              </w:rPr>
            </w:pPr>
            <w:r>
              <w:rPr>
                <w:rFonts w:ascii="Arial" w:eastAsia="Arial" w:hAnsi="Arial" w:cs="Arial"/>
                <w:sz w:val="20"/>
                <w:szCs w:val="20"/>
              </w:rPr>
              <w:t>Firma del Secretario Técnico del Comité Interno de Contratación:</w:t>
            </w:r>
          </w:p>
        </w:tc>
        <w:tc>
          <w:tcPr>
            <w:tcW w:w="0" w:type="auto"/>
          </w:tcPr>
          <w:p w:rsidR="00E65D75" w:rsidRDefault="00E65D75">
            <w:pPr>
              <w:ind w:left="0" w:hanging="2"/>
              <w:jc w:val="both"/>
              <w:rPr>
                <w:rFonts w:ascii="Arial" w:eastAsia="Arial" w:hAnsi="Arial" w:cs="Arial"/>
                <w:sz w:val="20"/>
                <w:szCs w:val="20"/>
              </w:rPr>
            </w:pPr>
          </w:p>
        </w:tc>
      </w:tr>
    </w:tbl>
    <w:p w:rsidR="00E65D75" w:rsidRDefault="00E65D75">
      <w:pPr>
        <w:ind w:left="0" w:hanging="2"/>
        <w:jc w:val="both"/>
        <w:rPr>
          <w:rFonts w:ascii="Arial" w:eastAsia="Arial" w:hAnsi="Arial" w:cs="Arial"/>
          <w:sz w:val="20"/>
          <w:szCs w:val="20"/>
        </w:rPr>
      </w:pPr>
    </w:p>
    <w:tbl>
      <w:tblPr>
        <w:tblStyle w:val="a5"/>
        <w:tblW w:w="89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E65D75">
        <w:tc>
          <w:tcPr>
            <w:tcW w:w="0" w:type="auto"/>
            <w:gridSpan w:val="2"/>
          </w:tcPr>
          <w:p w:rsidR="00E65D75" w:rsidRDefault="00AE4D04">
            <w:pPr>
              <w:ind w:left="0" w:hanging="2"/>
              <w:jc w:val="center"/>
              <w:rPr>
                <w:rFonts w:ascii="Arial" w:eastAsia="Arial" w:hAnsi="Arial" w:cs="Arial"/>
                <w:sz w:val="20"/>
                <w:szCs w:val="20"/>
              </w:rPr>
            </w:pPr>
            <w:r>
              <w:rPr>
                <w:rFonts w:ascii="Arial" w:eastAsia="Arial" w:hAnsi="Arial" w:cs="Arial"/>
                <w:b/>
                <w:sz w:val="20"/>
                <w:szCs w:val="20"/>
              </w:rPr>
              <w:t>SEGUNDO COMITÉ (en caso de ser necesario)</w:t>
            </w:r>
          </w:p>
        </w:tc>
      </w:tr>
      <w:tr w:rsidR="00E65D75">
        <w:tc>
          <w:tcPr>
            <w:tcW w:w="0" w:type="auto"/>
          </w:tcPr>
          <w:p w:rsidR="00E65D75" w:rsidRDefault="00AE4D04">
            <w:pPr>
              <w:ind w:left="0" w:hanging="2"/>
              <w:jc w:val="both"/>
              <w:rPr>
                <w:rFonts w:ascii="Arial" w:eastAsia="Arial" w:hAnsi="Arial" w:cs="Arial"/>
                <w:sz w:val="20"/>
                <w:szCs w:val="20"/>
              </w:rPr>
            </w:pPr>
            <w:r>
              <w:rPr>
                <w:rFonts w:ascii="Arial" w:eastAsia="Arial" w:hAnsi="Arial" w:cs="Arial"/>
                <w:sz w:val="20"/>
                <w:szCs w:val="20"/>
              </w:rPr>
              <w:t>Especificar si es Comité Asesor de Contratación o Comité Interno de Rectoría</w:t>
            </w:r>
          </w:p>
        </w:tc>
        <w:tc>
          <w:tcPr>
            <w:tcW w:w="0" w:type="auto"/>
          </w:tcPr>
          <w:p w:rsidR="00E65D75" w:rsidRDefault="00E65D75">
            <w:pPr>
              <w:ind w:left="0" w:hanging="2"/>
              <w:jc w:val="both"/>
              <w:rPr>
                <w:rFonts w:ascii="Arial" w:eastAsia="Arial" w:hAnsi="Arial" w:cs="Arial"/>
                <w:sz w:val="20"/>
                <w:szCs w:val="20"/>
              </w:rPr>
            </w:pPr>
          </w:p>
        </w:tc>
      </w:tr>
      <w:tr w:rsidR="00E65D75">
        <w:tc>
          <w:tcPr>
            <w:tcW w:w="0" w:type="auto"/>
          </w:tcPr>
          <w:p w:rsidR="00E65D75" w:rsidRDefault="00AE4D04">
            <w:pPr>
              <w:ind w:left="0" w:hanging="2"/>
              <w:jc w:val="both"/>
              <w:rPr>
                <w:rFonts w:ascii="Arial" w:eastAsia="Arial" w:hAnsi="Arial" w:cs="Arial"/>
                <w:sz w:val="20"/>
                <w:szCs w:val="20"/>
              </w:rPr>
            </w:pPr>
            <w:r>
              <w:rPr>
                <w:rFonts w:ascii="Arial" w:eastAsia="Arial" w:hAnsi="Arial" w:cs="Arial"/>
                <w:sz w:val="20"/>
                <w:szCs w:val="20"/>
              </w:rPr>
              <w:t xml:space="preserve">Número de acta y fecha de recomendación Comité Asesor de Contratación o Comité Interno de Rectoría </w:t>
            </w:r>
          </w:p>
        </w:tc>
        <w:tc>
          <w:tcPr>
            <w:tcW w:w="0" w:type="auto"/>
          </w:tcPr>
          <w:p w:rsidR="00E65D75" w:rsidRDefault="00E65D75">
            <w:pPr>
              <w:ind w:left="0" w:hanging="2"/>
              <w:jc w:val="both"/>
              <w:rPr>
                <w:rFonts w:ascii="Arial" w:eastAsia="Arial" w:hAnsi="Arial" w:cs="Arial"/>
                <w:sz w:val="20"/>
                <w:szCs w:val="20"/>
              </w:rPr>
            </w:pPr>
          </w:p>
        </w:tc>
      </w:tr>
      <w:tr w:rsidR="00E65D75">
        <w:tc>
          <w:tcPr>
            <w:tcW w:w="0" w:type="auto"/>
          </w:tcPr>
          <w:p w:rsidR="00E65D75" w:rsidRDefault="00AE4D04">
            <w:pPr>
              <w:ind w:left="0" w:hanging="2"/>
              <w:jc w:val="both"/>
              <w:rPr>
                <w:rFonts w:ascii="Arial" w:eastAsia="Arial" w:hAnsi="Arial" w:cs="Arial"/>
                <w:sz w:val="20"/>
                <w:szCs w:val="20"/>
              </w:rPr>
            </w:pPr>
            <w:r>
              <w:rPr>
                <w:rFonts w:ascii="Arial" w:eastAsia="Arial" w:hAnsi="Arial" w:cs="Arial"/>
                <w:sz w:val="20"/>
                <w:szCs w:val="20"/>
              </w:rPr>
              <w:t>Firma del Secretario Técnico del Comité Asesor de Contratación o Comité Int</w:t>
            </w:r>
            <w:r>
              <w:rPr>
                <w:rFonts w:ascii="Arial" w:eastAsia="Arial" w:hAnsi="Arial" w:cs="Arial"/>
                <w:sz w:val="20"/>
                <w:szCs w:val="20"/>
              </w:rPr>
              <w:t xml:space="preserve">erno de Rectoría </w:t>
            </w:r>
          </w:p>
        </w:tc>
        <w:tc>
          <w:tcPr>
            <w:tcW w:w="0" w:type="auto"/>
          </w:tcPr>
          <w:p w:rsidR="00E65D75" w:rsidRDefault="00E65D75">
            <w:pPr>
              <w:ind w:left="0" w:hanging="2"/>
              <w:jc w:val="both"/>
              <w:rPr>
                <w:rFonts w:ascii="Arial" w:eastAsia="Arial" w:hAnsi="Arial" w:cs="Arial"/>
                <w:sz w:val="20"/>
                <w:szCs w:val="20"/>
              </w:rPr>
            </w:pPr>
          </w:p>
        </w:tc>
      </w:tr>
    </w:tbl>
    <w:p w:rsidR="00E65D75" w:rsidRDefault="00E65D75">
      <w:pPr>
        <w:ind w:left="0" w:hanging="2"/>
        <w:jc w:val="both"/>
        <w:rPr>
          <w:rFonts w:ascii="Arial" w:eastAsia="Arial" w:hAnsi="Arial" w:cs="Arial"/>
          <w:sz w:val="20"/>
          <w:szCs w:val="20"/>
        </w:rPr>
      </w:pPr>
    </w:p>
    <w:tbl>
      <w:tblPr>
        <w:tblStyle w:val="a6"/>
        <w:tblW w:w="89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E65D75">
        <w:trPr>
          <w:trHeight w:val="179"/>
        </w:trPr>
        <w:tc>
          <w:tcPr>
            <w:tcW w:w="0" w:type="auto"/>
          </w:tcPr>
          <w:p w:rsidR="00E65D75" w:rsidRDefault="00AE4D04">
            <w:pPr>
              <w:ind w:left="0" w:hanging="2"/>
              <w:jc w:val="both"/>
              <w:rPr>
                <w:rFonts w:ascii="Arial" w:eastAsia="Arial" w:hAnsi="Arial" w:cs="Arial"/>
                <w:sz w:val="20"/>
                <w:szCs w:val="20"/>
              </w:rPr>
            </w:pPr>
            <w:r>
              <w:rPr>
                <w:rFonts w:ascii="Arial" w:eastAsia="Arial" w:hAnsi="Arial" w:cs="Arial"/>
                <w:sz w:val="20"/>
                <w:szCs w:val="20"/>
              </w:rPr>
              <w:t>Fecha recibido en Adquisiciones:</w:t>
            </w:r>
          </w:p>
        </w:tc>
        <w:tc>
          <w:tcPr>
            <w:tcW w:w="0" w:type="auto"/>
          </w:tcPr>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p w:rsidR="00E65D75" w:rsidRDefault="00E65D75">
            <w:pPr>
              <w:ind w:left="0" w:hanging="2"/>
              <w:jc w:val="both"/>
              <w:rPr>
                <w:rFonts w:ascii="Arial" w:eastAsia="Arial" w:hAnsi="Arial" w:cs="Arial"/>
                <w:sz w:val="20"/>
                <w:szCs w:val="20"/>
              </w:rPr>
            </w:pPr>
          </w:p>
        </w:tc>
      </w:tr>
    </w:tbl>
    <w:p w:rsidR="00E65D75" w:rsidRDefault="00E65D75">
      <w:pPr>
        <w:ind w:left="0" w:hanging="2"/>
        <w:rPr>
          <w:rFonts w:ascii="Arial" w:eastAsia="Arial" w:hAnsi="Arial" w:cs="Arial"/>
          <w:sz w:val="20"/>
          <w:szCs w:val="20"/>
        </w:rPr>
      </w:pPr>
    </w:p>
    <w:sectPr w:rsidR="00E65D75">
      <w:headerReference w:type="default" r:id="rId10"/>
      <w:footerReference w:type="default" r:id="rId11"/>
      <w:pgSz w:w="12240" w:h="15840"/>
      <w:pgMar w:top="1417" w:right="1701" w:bottom="1417" w:left="1701" w:header="708" w:footer="51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D04" w:rsidRDefault="00AE4D04">
      <w:pPr>
        <w:spacing w:line="240" w:lineRule="auto"/>
        <w:ind w:left="0" w:hanging="2"/>
      </w:pPr>
      <w:r>
        <w:separator/>
      </w:r>
    </w:p>
  </w:endnote>
  <w:endnote w:type="continuationSeparator" w:id="0">
    <w:p w:rsidR="00AE4D04" w:rsidRDefault="00AE4D0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D75" w:rsidRDefault="00AE4D04">
    <w:pPr>
      <w:pBdr>
        <w:top w:val="nil"/>
        <w:left w:val="nil"/>
        <w:bottom w:val="nil"/>
        <w:right w:val="nil"/>
        <w:between w:val="nil"/>
      </w:pBdr>
      <w:tabs>
        <w:tab w:val="center" w:pos="4419"/>
        <w:tab w:val="right" w:pos="8838"/>
      </w:tabs>
      <w:spacing w:line="240" w:lineRule="auto"/>
      <w:ind w:left="0" w:hanging="2"/>
      <w:jc w:val="right"/>
      <w:rPr>
        <w:color w:val="000000"/>
      </w:rPr>
    </w:pPr>
    <w:r>
      <w:rPr>
        <w:noProof/>
        <w:lang w:val="es-CO" w:eastAsia="es-CO"/>
      </w:rPr>
      <w:drawing>
        <wp:anchor distT="0" distB="0" distL="114300" distR="114300" simplePos="0" relativeHeight="251659264" behindDoc="0" locked="0" layoutInCell="1" hidden="0" allowOverlap="1">
          <wp:simplePos x="0" y="0"/>
          <wp:positionH relativeFrom="column">
            <wp:posOffset>5415915</wp:posOffset>
          </wp:positionH>
          <wp:positionV relativeFrom="paragraph">
            <wp:posOffset>-434339</wp:posOffset>
          </wp:positionV>
          <wp:extent cx="1073785" cy="862965"/>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73785" cy="862965"/>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D04" w:rsidRDefault="00AE4D04">
      <w:pPr>
        <w:spacing w:line="240" w:lineRule="auto"/>
        <w:ind w:left="0" w:hanging="2"/>
      </w:pPr>
      <w:r>
        <w:separator/>
      </w:r>
    </w:p>
  </w:footnote>
  <w:footnote w:type="continuationSeparator" w:id="0">
    <w:p w:rsidR="00AE4D04" w:rsidRDefault="00AE4D0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D75" w:rsidRDefault="00E65D75">
    <w:pPr>
      <w:widowControl w:val="0"/>
      <w:pBdr>
        <w:top w:val="nil"/>
        <w:left w:val="nil"/>
        <w:bottom w:val="nil"/>
        <w:right w:val="nil"/>
        <w:between w:val="nil"/>
      </w:pBdr>
      <w:spacing w:line="276" w:lineRule="auto"/>
      <w:ind w:left="0" w:hanging="2"/>
      <w:rPr>
        <w:rFonts w:ascii="Arial" w:eastAsia="Arial" w:hAnsi="Arial" w:cs="Arial"/>
        <w:sz w:val="20"/>
        <w:szCs w:val="20"/>
      </w:rPr>
    </w:pPr>
  </w:p>
  <w:tbl>
    <w:tblPr>
      <w:tblStyle w:val="a7"/>
      <w:tblW w:w="9558" w:type="dxa"/>
      <w:jc w:val="center"/>
      <w:tblInd w:w="0" w:type="dxa"/>
      <w:tblLayout w:type="fixed"/>
      <w:tblLook w:val="0000" w:firstRow="0" w:lastRow="0" w:firstColumn="0" w:lastColumn="0" w:noHBand="0" w:noVBand="0"/>
    </w:tblPr>
    <w:tblGrid>
      <w:gridCol w:w="2400"/>
      <w:gridCol w:w="5315"/>
      <w:gridCol w:w="1843"/>
    </w:tblGrid>
    <w:tr w:rsidR="00E65D75">
      <w:trPr>
        <w:cantSplit/>
        <w:trHeight w:val="550"/>
        <w:jc w:val="center"/>
      </w:trPr>
      <w:tc>
        <w:tcPr>
          <w:tcW w:w="2400" w:type="dxa"/>
          <w:vMerge w:val="restart"/>
          <w:tcBorders>
            <w:top w:val="single" w:sz="4" w:space="0" w:color="000000"/>
            <w:left w:val="single" w:sz="4" w:space="0" w:color="000000"/>
            <w:bottom w:val="single" w:sz="4" w:space="0" w:color="000000"/>
            <w:right w:val="single" w:sz="4" w:space="0" w:color="000000"/>
          </w:tcBorders>
        </w:tcPr>
        <w:p w:rsidR="00E65D75" w:rsidRDefault="00AE4D04">
          <w:pPr>
            <w:pBdr>
              <w:top w:val="nil"/>
              <w:left w:val="nil"/>
              <w:bottom w:val="nil"/>
              <w:right w:val="nil"/>
              <w:between w:val="nil"/>
            </w:pBdr>
            <w:spacing w:line="240" w:lineRule="auto"/>
            <w:ind w:left="0" w:hanging="2"/>
            <w:jc w:val="center"/>
            <w:rPr>
              <w:b/>
              <w:color w:val="000000"/>
              <w:sz w:val="20"/>
              <w:szCs w:val="20"/>
            </w:rPr>
          </w:pPr>
          <w:r>
            <w:rPr>
              <w:noProof/>
              <w:lang w:val="es-CO" w:eastAsia="es-CO"/>
            </w:rPr>
            <w:drawing>
              <wp:anchor distT="0" distB="0" distL="114300" distR="114300" simplePos="0" relativeHeight="251658240" behindDoc="0" locked="0" layoutInCell="1" hidden="0" allowOverlap="1">
                <wp:simplePos x="0" y="0"/>
                <wp:positionH relativeFrom="column">
                  <wp:posOffset>149860</wp:posOffset>
                </wp:positionH>
                <wp:positionV relativeFrom="paragraph">
                  <wp:posOffset>160020</wp:posOffset>
                </wp:positionV>
                <wp:extent cx="800735" cy="426085"/>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00735" cy="426085"/>
                        </a:xfrm>
                        <a:prstGeom prst="rect">
                          <a:avLst/>
                        </a:prstGeom>
                        <a:ln/>
                      </pic:spPr>
                    </pic:pic>
                  </a:graphicData>
                </a:graphic>
              </wp:anchor>
            </w:drawing>
          </w:r>
        </w:p>
      </w:tc>
      <w:tc>
        <w:tcPr>
          <w:tcW w:w="5315" w:type="dxa"/>
          <w:vMerge w:val="restart"/>
          <w:tcBorders>
            <w:top w:val="single" w:sz="4" w:space="0" w:color="000000"/>
            <w:left w:val="single" w:sz="4" w:space="0" w:color="000000"/>
            <w:bottom w:val="single" w:sz="4" w:space="0" w:color="000000"/>
          </w:tcBorders>
          <w:vAlign w:val="center"/>
        </w:tcPr>
        <w:p w:rsidR="00E65D75" w:rsidRDefault="00AE4D04">
          <w:pPr>
            <w:pBdr>
              <w:top w:val="nil"/>
              <w:left w:val="nil"/>
              <w:bottom w:val="nil"/>
              <w:right w:val="nil"/>
              <w:between w:val="nil"/>
            </w:pBdr>
            <w:tabs>
              <w:tab w:val="right" w:pos="2065"/>
            </w:tabs>
            <w:spacing w:line="240" w:lineRule="auto"/>
            <w:ind w:left="0" w:hanging="2"/>
            <w:jc w:val="center"/>
            <w:rPr>
              <w:rFonts w:ascii="Arial" w:eastAsia="Arial" w:hAnsi="Arial" w:cs="Arial"/>
              <w:b/>
              <w:color w:val="000000"/>
            </w:rPr>
          </w:pPr>
          <w:r>
            <w:rPr>
              <w:rFonts w:ascii="Arial" w:eastAsia="Arial" w:hAnsi="Arial" w:cs="Arial"/>
              <w:b/>
              <w:color w:val="000000"/>
            </w:rPr>
            <w:t>ESTUDIOS PREVIOS PARA LA ADQUISICION DE BIENES Y/O SERVICIOS</w:t>
          </w:r>
        </w:p>
      </w:tc>
      <w:tc>
        <w:tcPr>
          <w:tcW w:w="1843" w:type="dxa"/>
          <w:tcBorders>
            <w:top w:val="single" w:sz="4" w:space="0" w:color="000000"/>
            <w:left w:val="single" w:sz="4" w:space="0" w:color="000000"/>
            <w:bottom w:val="single" w:sz="4" w:space="0" w:color="000000"/>
            <w:right w:val="single" w:sz="4" w:space="0" w:color="000000"/>
          </w:tcBorders>
        </w:tcPr>
        <w:p w:rsidR="00E65D75" w:rsidRDefault="00AE4D04">
          <w:pPr>
            <w:pBdr>
              <w:top w:val="nil"/>
              <w:left w:val="nil"/>
              <w:bottom w:val="nil"/>
              <w:right w:val="nil"/>
              <w:between w:val="nil"/>
            </w:pBdr>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 xml:space="preserve"> </w:t>
          </w:r>
          <w:r>
            <w:rPr>
              <w:rFonts w:ascii="Arial" w:eastAsia="Arial" w:hAnsi="Arial" w:cs="Arial"/>
              <w:color w:val="000000"/>
              <w:sz w:val="22"/>
              <w:szCs w:val="22"/>
            </w:rPr>
            <w:t>Código: FLG01</w:t>
          </w:r>
        </w:p>
      </w:tc>
    </w:tr>
    <w:tr w:rsidR="00E65D75">
      <w:trPr>
        <w:cantSplit/>
        <w:trHeight w:val="536"/>
        <w:jc w:val="center"/>
      </w:trPr>
      <w:tc>
        <w:tcPr>
          <w:tcW w:w="2400" w:type="dxa"/>
          <w:vMerge/>
          <w:tcBorders>
            <w:top w:val="single" w:sz="4" w:space="0" w:color="000000"/>
            <w:left w:val="single" w:sz="4" w:space="0" w:color="000000"/>
            <w:bottom w:val="single" w:sz="4" w:space="0" w:color="000000"/>
            <w:right w:val="single" w:sz="4" w:space="0" w:color="000000"/>
          </w:tcBorders>
        </w:tcPr>
        <w:p w:rsidR="00E65D75" w:rsidRDefault="00E65D75">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c>
      <w:tc>
        <w:tcPr>
          <w:tcW w:w="5315" w:type="dxa"/>
          <w:vMerge/>
          <w:tcBorders>
            <w:top w:val="single" w:sz="4" w:space="0" w:color="000000"/>
            <w:left w:val="single" w:sz="4" w:space="0" w:color="000000"/>
            <w:bottom w:val="single" w:sz="4" w:space="0" w:color="000000"/>
          </w:tcBorders>
          <w:vAlign w:val="center"/>
        </w:tcPr>
        <w:p w:rsidR="00E65D75" w:rsidRDefault="00E65D75">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rsidR="00E65D75" w:rsidRDefault="00AE4D04">
          <w:pPr>
            <w:pBdr>
              <w:top w:val="nil"/>
              <w:left w:val="nil"/>
              <w:bottom w:val="nil"/>
              <w:right w:val="nil"/>
              <w:between w:val="nil"/>
            </w:pBdr>
            <w:tabs>
              <w:tab w:val="right" w:pos="2065"/>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 xml:space="preserve"> </w:t>
          </w:r>
          <w:r>
            <w:rPr>
              <w:rFonts w:ascii="Arial" w:eastAsia="Arial" w:hAnsi="Arial" w:cs="Arial"/>
              <w:color w:val="000000"/>
              <w:sz w:val="22"/>
              <w:szCs w:val="22"/>
            </w:rPr>
            <w:t>Versión: 16</w:t>
          </w:r>
        </w:p>
        <w:p w:rsidR="00E65D75" w:rsidRDefault="00E65D75">
          <w:pPr>
            <w:pBdr>
              <w:top w:val="nil"/>
              <w:left w:val="nil"/>
              <w:bottom w:val="nil"/>
              <w:right w:val="nil"/>
              <w:between w:val="nil"/>
            </w:pBdr>
            <w:tabs>
              <w:tab w:val="right" w:pos="2065"/>
            </w:tabs>
            <w:spacing w:line="240" w:lineRule="auto"/>
            <w:ind w:left="0" w:hanging="2"/>
            <w:rPr>
              <w:rFonts w:ascii="Arial" w:eastAsia="Arial" w:hAnsi="Arial" w:cs="Arial"/>
              <w:color w:val="000000"/>
              <w:sz w:val="22"/>
              <w:szCs w:val="22"/>
            </w:rPr>
          </w:pPr>
        </w:p>
      </w:tc>
    </w:tr>
  </w:tbl>
  <w:p w:rsidR="00E65D75" w:rsidRDefault="00E65D75">
    <w:pPr>
      <w:pBdr>
        <w:top w:val="nil"/>
        <w:left w:val="nil"/>
        <w:bottom w:val="nil"/>
        <w:right w:val="nil"/>
        <w:between w:val="nil"/>
      </w:pBdr>
      <w:tabs>
        <w:tab w:val="center" w:pos="4419"/>
        <w:tab w:val="right" w:pos="8838"/>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B1FEF"/>
    <w:multiLevelType w:val="multilevel"/>
    <w:tmpl w:val="B27270E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20FC1696"/>
    <w:multiLevelType w:val="multilevel"/>
    <w:tmpl w:val="55BEDAF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3B2E1694"/>
    <w:multiLevelType w:val="multilevel"/>
    <w:tmpl w:val="D85E2318"/>
    <w:lvl w:ilvl="0">
      <w:start w:val="1"/>
      <w:numFmt w:val="upperLetter"/>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59427B5C"/>
    <w:multiLevelType w:val="multilevel"/>
    <w:tmpl w:val="AE20732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6D691FE1"/>
    <w:multiLevelType w:val="multilevel"/>
    <w:tmpl w:val="5C8E2FA4"/>
    <w:lvl w:ilvl="0">
      <w:start w:val="1"/>
      <w:numFmt w:val="bullet"/>
      <w:lvlText w:val="-"/>
      <w:lvlJc w:val="left"/>
      <w:pPr>
        <w:ind w:left="360" w:hanging="360"/>
      </w:pPr>
      <w:rPr>
        <w:rFonts w:ascii="Verdana" w:eastAsia="Verdana" w:hAnsi="Verdana" w:cs="Verdana"/>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5" w15:restartNumberingAfterBreak="0">
    <w:nsid w:val="78DE38FC"/>
    <w:multiLevelType w:val="multilevel"/>
    <w:tmpl w:val="D6261E20"/>
    <w:lvl w:ilvl="0">
      <w:start w:val="1"/>
      <w:numFmt w:val="decimal"/>
      <w:lvlText w:val="%1."/>
      <w:lvlJc w:val="left"/>
      <w:pPr>
        <w:ind w:left="360" w:hanging="360"/>
      </w:pPr>
      <w:rPr>
        <w:b/>
        <w:vertAlign w:val="baseline"/>
      </w:rPr>
    </w:lvl>
    <w:lvl w:ilvl="1">
      <w:start w:val="1"/>
      <w:numFmt w:val="bullet"/>
      <w:lvlText w:val="●"/>
      <w:lvlJc w:val="left"/>
      <w:pPr>
        <w:ind w:left="1283" w:hanging="431"/>
      </w:pPr>
      <w:rPr>
        <w:rFonts w:ascii="Noto Sans Symbols" w:eastAsia="Noto Sans Symbols" w:hAnsi="Noto Sans Symbols" w:cs="Noto Sans Symbols"/>
        <w:i w:val="0"/>
        <w:vertAlign w:val="baseline"/>
      </w:rPr>
    </w:lvl>
    <w:lvl w:ilvl="2">
      <w:start w:val="1"/>
      <w:numFmt w:val="decimal"/>
      <w:lvlText w:val="%1.●.%3."/>
      <w:lvlJc w:val="left"/>
      <w:pPr>
        <w:ind w:left="1224" w:hanging="504"/>
      </w:pPr>
      <w:rPr>
        <w:vertAlign w:val="baseline"/>
      </w:rPr>
    </w:lvl>
    <w:lvl w:ilvl="3">
      <w:start w:val="1"/>
      <w:numFmt w:val="decimal"/>
      <w:lvlText w:val="%1.●.%3.%4."/>
      <w:lvlJc w:val="left"/>
      <w:pPr>
        <w:ind w:left="1728" w:hanging="647"/>
      </w:pPr>
      <w:rPr>
        <w:vertAlign w:val="baseline"/>
      </w:rPr>
    </w:lvl>
    <w:lvl w:ilvl="4">
      <w:start w:val="1"/>
      <w:numFmt w:val="decimal"/>
      <w:lvlText w:val="%1.●.%3.%4.%5."/>
      <w:lvlJc w:val="left"/>
      <w:pPr>
        <w:ind w:left="2232" w:hanging="792"/>
      </w:pPr>
      <w:rPr>
        <w:vertAlign w:val="baseline"/>
      </w:rPr>
    </w:lvl>
    <w:lvl w:ilvl="5">
      <w:start w:val="1"/>
      <w:numFmt w:val="decimal"/>
      <w:lvlText w:val="%1.●.%3.%4.%5.%6."/>
      <w:lvlJc w:val="left"/>
      <w:pPr>
        <w:ind w:left="2736" w:hanging="935"/>
      </w:pPr>
      <w:rPr>
        <w:vertAlign w:val="baseline"/>
      </w:rPr>
    </w:lvl>
    <w:lvl w:ilvl="6">
      <w:start w:val="1"/>
      <w:numFmt w:val="decimal"/>
      <w:lvlText w:val="%1.●.%3.%4.%5.%6.%7."/>
      <w:lvlJc w:val="left"/>
      <w:pPr>
        <w:ind w:left="3240" w:hanging="1080"/>
      </w:pPr>
      <w:rPr>
        <w:vertAlign w:val="baseline"/>
      </w:rPr>
    </w:lvl>
    <w:lvl w:ilvl="7">
      <w:start w:val="1"/>
      <w:numFmt w:val="decimal"/>
      <w:lvlText w:val="%1.●.%3.%4.%5.%6.%7.%8."/>
      <w:lvlJc w:val="left"/>
      <w:pPr>
        <w:ind w:left="3744" w:hanging="1224"/>
      </w:pPr>
      <w:rPr>
        <w:vertAlign w:val="baseline"/>
      </w:rPr>
    </w:lvl>
    <w:lvl w:ilvl="8">
      <w:start w:val="1"/>
      <w:numFmt w:val="decimal"/>
      <w:lvlText w:val="%1.●.%3.%4.%5.%6.%7.%8.%9."/>
      <w:lvlJc w:val="left"/>
      <w:pPr>
        <w:ind w:left="4320" w:hanging="1440"/>
      </w:pPr>
      <w:rPr>
        <w:vertAlign w:val="baseline"/>
      </w:rPr>
    </w:lvl>
  </w:abstractNum>
  <w:abstractNum w:abstractNumId="6" w15:restartNumberingAfterBreak="0">
    <w:nsid w:val="7BD8503F"/>
    <w:multiLevelType w:val="multilevel"/>
    <w:tmpl w:val="8EAAA8B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3"/>
  </w:num>
  <w:num w:numId="2">
    <w:abstractNumId w:val="1"/>
  </w:num>
  <w:num w:numId="3">
    <w:abstractNumId w:val="6"/>
  </w:num>
  <w:num w:numId="4">
    <w:abstractNumId w:val="0"/>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D75"/>
    <w:rsid w:val="001A4912"/>
    <w:rsid w:val="00AE4D04"/>
    <w:rsid w:val="00E65D7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F21CB57-12BC-4C59-AB81-20E96F939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MX"/>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spacing w:line="240" w:lineRule="auto"/>
    </w:pPr>
  </w:style>
  <w:style w:type="character" w:customStyle="1" w:styleId="EncabezadoCar">
    <w:name w:val="Encabezado Car"/>
    <w:basedOn w:val="Fuentedeprrafopredeter"/>
    <w:rPr>
      <w:w w:val="100"/>
      <w:position w:val="-1"/>
      <w:effect w:val="none"/>
      <w:vertAlign w:val="baseline"/>
      <w:cs w:val="0"/>
      <w:em w:val="none"/>
    </w:rPr>
  </w:style>
  <w:style w:type="paragraph" w:styleId="Piedepgina">
    <w:name w:val="footer"/>
    <w:basedOn w:val="Normal"/>
    <w:qFormat/>
    <w:pPr>
      <w:tabs>
        <w:tab w:val="center" w:pos="4419"/>
        <w:tab w:val="right" w:pos="8838"/>
      </w:tabs>
      <w:spacing w:line="240" w:lineRule="auto"/>
    </w:pPr>
  </w:style>
  <w:style w:type="character" w:customStyle="1" w:styleId="PiedepginaCar">
    <w:name w:val="Pie de página Car"/>
    <w:basedOn w:val="Fuentedeprrafopredeter"/>
    <w:rPr>
      <w:w w:val="100"/>
      <w:position w:val="-1"/>
      <w:effect w:val="none"/>
      <w:vertAlign w:val="baseline"/>
      <w:cs w:val="0"/>
      <w:em w:val="none"/>
    </w:rPr>
  </w:style>
  <w:style w:type="paragraph" w:customStyle="1" w:styleId="Ttulodelatabla">
    <w:name w:val="Título de la tabla"/>
    <w:basedOn w:val="Normal"/>
    <w:pPr>
      <w:suppressAutoHyphens w:val="0"/>
      <w:spacing w:after="120" w:line="240" w:lineRule="auto"/>
      <w:jc w:val="center"/>
    </w:pPr>
    <w:rPr>
      <w:b/>
      <w:i/>
      <w:noProof/>
      <w:szCs w:val="20"/>
    </w:rPr>
  </w:style>
  <w:style w:type="paragraph" w:styleId="Textodeglobo">
    <w:name w:val="Balloon Text"/>
    <w:basedOn w:val="Normal"/>
    <w:qFormat/>
    <w:pPr>
      <w:spacing w:line="240" w:lineRule="auto"/>
    </w:pPr>
    <w:rPr>
      <w:rFonts w:ascii="Tahoma" w:hAnsi="Tahoma" w:cs="Tahoma"/>
      <w:sz w:val="16"/>
      <w:szCs w:val="16"/>
    </w:rPr>
  </w:style>
  <w:style w:type="character" w:customStyle="1" w:styleId="TextodegloboCar">
    <w:name w:val="Texto de globo Car"/>
    <w:rPr>
      <w:rFonts w:ascii="Tahoma" w:hAnsi="Tahoma" w:cs="Tahoma"/>
      <w:w w:val="100"/>
      <w:position w:val="-1"/>
      <w:sz w:val="16"/>
      <w:szCs w:val="16"/>
      <w:effect w:val="none"/>
      <w:vertAlign w:val="baseline"/>
      <w:cs w:val="0"/>
      <w:em w:val="none"/>
    </w:rPr>
  </w:style>
  <w:style w:type="table" w:styleId="Tablaconcuadrcula">
    <w:name w:val="Table Grid"/>
    <w:basedOn w:val="Tablanormal"/>
    <w:pPr>
      <w:suppressAutoHyphens/>
      <w:ind w:leftChars="-1" w:left="-1" w:hangingChars="1" w:hanging="1"/>
      <w:textDirection w:val="btLr"/>
      <w:textAlignment w:val="top"/>
      <w:outlineLvl w:val="0"/>
    </w:pPr>
    <w:rPr>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pPr>
      <w:jc w:val="both"/>
    </w:pPr>
    <w:rPr>
      <w:rFonts w:ascii="Arial" w:hAnsi="Arial" w:cs="Arial"/>
      <w:sz w:val="22"/>
      <w:szCs w:val="22"/>
    </w:rPr>
  </w:style>
  <w:style w:type="character" w:customStyle="1" w:styleId="Textoindependiente2Car">
    <w:name w:val="Texto independiente 2 Car"/>
    <w:rPr>
      <w:rFonts w:ascii="Arial" w:eastAsia="Times New Roman" w:hAnsi="Arial" w:cs="Arial"/>
      <w:w w:val="100"/>
      <w:position w:val="-1"/>
      <w:effect w:val="none"/>
      <w:vertAlign w:val="baseline"/>
      <w:cs w:val="0"/>
      <w:em w:val="none"/>
      <w:lang w:val="es-MX" w:eastAsia="es-MX"/>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MX" w:eastAsia="es-MX"/>
    </w:rPr>
  </w:style>
  <w:style w:type="paragraph" w:customStyle="1" w:styleId="Prrafodelista11">
    <w:name w:val="Párrafo de lista11"/>
    <w:basedOn w:val="Normal"/>
    <w:pPr>
      <w:ind w:left="708"/>
    </w:pPr>
    <w:rPr>
      <w:lang w:val="es-ES" w:eastAsia="es-ES"/>
    </w:rPr>
  </w:style>
  <w:style w:type="paragraph" w:customStyle="1" w:styleId="pa39">
    <w:name w:val="pa39"/>
    <w:basedOn w:val="Normal"/>
    <w:pPr>
      <w:spacing w:before="100" w:beforeAutospacing="1" w:after="100" w:afterAutospacing="1"/>
    </w:pPr>
    <w:rPr>
      <w:rFonts w:ascii="Arial Unicode MS" w:eastAsia="Arial Unicode MS" w:hAnsi="Arial Unicode MS" w:cs="Arial Unicode MS"/>
      <w:lang w:val="es-ES" w:eastAsia="es-ES"/>
    </w:rPr>
  </w:style>
  <w:style w:type="character" w:styleId="Hipervnculo">
    <w:name w:val="Hyperlink"/>
    <w:rPr>
      <w:color w:val="0000FF"/>
      <w:w w:val="100"/>
      <w:position w:val="-1"/>
      <w:u w:val="single"/>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es-CO"/>
    </w:rPr>
  </w:style>
  <w:style w:type="paragraph" w:styleId="Revisin">
    <w:name w:val="Revision"/>
    <w:pPr>
      <w:suppressAutoHyphens/>
      <w:spacing w:line="1" w:lineRule="atLeast"/>
      <w:ind w:leftChars="-1" w:left="-1" w:hangingChars="1" w:hanging="1"/>
      <w:textDirection w:val="btLr"/>
      <w:textAlignment w:val="top"/>
      <w:outlineLvl w:val="0"/>
    </w:pPr>
    <w:rPr>
      <w:position w:val="-1"/>
      <w:lang w:eastAsia="es-MX"/>
    </w:rPr>
  </w:style>
  <w:style w:type="paragraph" w:customStyle="1" w:styleId="PrrafodelistaBibliografaTesis">
    <w:name w:val="Párrafo de lista;Bibliografía Tesis"/>
    <w:basedOn w:val="Normal"/>
    <w:pPr>
      <w:ind w:left="708"/>
    </w:pPr>
  </w:style>
  <w:style w:type="character" w:customStyle="1" w:styleId="PrrafodelistaCarBibliografaTesisCar">
    <w:name w:val="Párrafo de lista Car;Bibliografía Tesis Car"/>
    <w:rPr>
      <w:rFonts w:ascii="Times New Roman" w:eastAsia="Times New Roman" w:hAnsi="Times New Roman"/>
      <w:w w:val="100"/>
      <w:position w:val="-1"/>
      <w:sz w:val="24"/>
      <w:szCs w:val="24"/>
      <w:effect w:val="none"/>
      <w:vertAlign w:val="baseline"/>
      <w:cs w:val="0"/>
      <w:em w:val="none"/>
      <w:lang w:val="es-MX" w:eastAsia="es-MX"/>
    </w:rPr>
  </w:style>
  <w:style w:type="paragraph" w:styleId="Sinespaciado">
    <w:name w:val="No Spacing"/>
    <w:pPr>
      <w:suppressAutoHyphens/>
      <w:spacing w:line="1" w:lineRule="atLeast"/>
      <w:ind w:leftChars="-1" w:left="-1" w:hangingChars="1" w:hanging="1"/>
      <w:textDirection w:val="btLr"/>
      <w:textAlignment w:val="top"/>
      <w:outlineLvl w:val="0"/>
    </w:pPr>
    <w:rPr>
      <w:position w:val="-1"/>
      <w:lang w:val="es-ES" w:eastAsia="es-ES"/>
    </w:rPr>
  </w:style>
  <w:style w:type="paragraph" w:styleId="NormalWeb">
    <w:name w:val="Normal (Web)"/>
    <w:basedOn w:val="Normal"/>
    <w:pPr>
      <w:spacing w:before="100" w:after="100"/>
    </w:pPr>
    <w:rPr>
      <w:szCs w:val="20"/>
      <w:lang w:val="es-CO" w:eastAsia="es-ES"/>
    </w:rPr>
  </w:style>
  <w:style w:type="paragraph" w:customStyle="1" w:styleId="Cuerpodetexto">
    <w:name w:val="Cuerpo de texto"/>
    <w:basedOn w:val="Normal"/>
    <w:pPr>
      <w:widowControl w:val="0"/>
      <w:autoSpaceDN w:val="0"/>
      <w:adjustRightInd w:val="0"/>
      <w:spacing w:after="120"/>
    </w:pPr>
    <w:rPr>
      <w:rFonts w:ascii="Arial" w:hAnsi="Arial" w:cs="Arial"/>
      <w:b/>
      <w:bCs/>
      <w:color w:val="000000"/>
      <w:lang w:val="es-ES"/>
    </w:rPr>
  </w:style>
  <w:style w:type="character" w:styleId="Hipervnculovisitado">
    <w:name w:val="FollowedHyperlink"/>
    <w:qFormat/>
    <w:rPr>
      <w:color w:val="800080"/>
      <w:w w:val="100"/>
      <w:position w:val="-1"/>
      <w:u w:val="single"/>
      <w:effect w:val="none"/>
      <w:vertAlign w:val="baseline"/>
      <w:cs w:val="0"/>
      <w:em w:val="none"/>
    </w:rPr>
  </w:style>
  <w:style w:type="character" w:customStyle="1" w:styleId="Mencinsinresolver">
    <w:name w:val="Mención sin resolver"/>
    <w:qFormat/>
    <w:rPr>
      <w:color w:val="605E5C"/>
      <w:w w:val="100"/>
      <w:position w:val="-1"/>
      <w:effect w:val="none"/>
      <w:shd w:val="clear" w:color="auto" w:fill="E1DFDD"/>
      <w:vertAlign w:val="baseline"/>
      <w:cs w:val="0"/>
      <w:em w:val="none"/>
    </w:rPr>
  </w:style>
  <w:style w:type="paragraph" w:customStyle="1" w:styleId="Normal0">
    <w:name w:val="[Normal]"/>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position w:val="-1"/>
      <w:lang w:val="es-CO"/>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rPr>
      <w:sz w:val="20"/>
      <w:szCs w:val="20"/>
    </w:rPr>
  </w:style>
  <w:style w:type="character" w:customStyle="1" w:styleId="TextocomentarioCar">
    <w:name w:val="Texto comentario Car"/>
    <w:rPr>
      <w:rFonts w:ascii="Times New Roman" w:eastAsia="Times New Roman" w:hAnsi="Times New Roman"/>
      <w:w w:val="100"/>
      <w:position w:val="-1"/>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table" w:customStyle="1" w:styleId="a4">
    <w:basedOn w:val="TableNormal"/>
    <w:tblPr>
      <w:tblStyleRowBandSize w:val="1"/>
      <w:tblStyleColBandSize w:val="1"/>
      <w:tblCellMar>
        <w:top w:w="0" w:type="dxa"/>
        <w:left w:w="108" w:type="dxa"/>
        <w:bottom w:w="0" w:type="dxa"/>
        <w:right w:w="108" w:type="dxa"/>
      </w:tblCellMar>
    </w:tbl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minsalud.gov.co/Normatividad_Nuevo/DECRETO%201607%20DE%202002.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gomez@elpoli.edu.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FK/O3tsarSA2PV450WVdDEs3ig==">AMUW2mXAYweu7njhH1TeBK6n/syGocypuO+8JIDVgacuBnf7qeTCT8tlfaJhxV8IzBDyAfutERMDVczlyuldelJB0B2vZklJOebswOlKaPX0Ng9KTbFmY/M=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2592</Words>
  <Characters>14259</Characters>
  <Application>Microsoft Office Word</Application>
  <DocSecurity>0</DocSecurity>
  <Lines>118</Lines>
  <Paragraphs>33</Paragraphs>
  <ScaleCrop>false</ScaleCrop>
  <Company/>
  <LinksUpToDate>false</LinksUpToDate>
  <CharactersWithSpaces>16818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PATRICIA LOPEZ HERRERA</dc:creator>
  <cp:lastModifiedBy>Luis Ovidio Gaviria Puerta</cp:lastModifiedBy>
  <cp:revision>2</cp:revision>
  <dcterms:created xsi:type="dcterms:W3CDTF">2022-10-04T20:52:00Z</dcterms:created>
  <dcterms:modified xsi:type="dcterms:W3CDTF">2022-10-27T01:14:00Z</dcterms:modified>
</cp:coreProperties>
</file>